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Cs w:val="28"/>
        </w:rPr>
      </w:pPr>
      <w:r>
        <w:rPr>
          <w:b/>
          <w:bCs/>
          <w:szCs w:val="28"/>
        </w:rPr>
        <w:t>ПРОГРАММА  СЕМИНАРА</w:t>
      </w:r>
    </w:p>
    <w:p>
      <w:pPr>
        <w:pStyle w:val="Normal"/>
        <w:widowControl w:val="false"/>
        <w:jc w:val="center"/>
        <w:rPr>
          <w:b/>
          <w:b/>
          <w:szCs w:val="28"/>
        </w:rPr>
      </w:pPr>
      <w:r>
        <w:rPr>
          <w:rFonts w:cs="Helvetica" w:ascii="Helvetica" w:hAnsi="Helvetica"/>
          <w:b/>
          <w:szCs w:val="28"/>
        </w:rPr>
        <w:t>«</w:t>
      </w:r>
      <w:r>
        <w:rPr>
          <w:b/>
          <w:szCs w:val="28"/>
        </w:rPr>
        <w:t>Ведение бизнеса при изменении законодательства</w:t>
      </w:r>
    </w:p>
    <w:p>
      <w:pPr>
        <w:pStyle w:val="Normal"/>
        <w:widowControl w:val="false"/>
        <w:jc w:val="center"/>
        <w:rPr>
          <w:b/>
          <w:b/>
          <w:szCs w:val="28"/>
        </w:rPr>
      </w:pPr>
      <w:r>
        <w:rPr>
          <w:b/>
          <w:szCs w:val="28"/>
        </w:rPr>
        <w:t>в 2019 году»</w:t>
      </w:r>
    </w:p>
    <w:p>
      <w:pPr>
        <w:pStyle w:val="Normal"/>
        <w:widowControl w:val="false"/>
        <w:spacing w:lineRule="auto" w:line="276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Налоговое законодательство: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Изменения в применении спецрежимов (УСН, ЕНВД, ЕСХ, патент);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Изменения в отчетности (ПФ, соустрах, статистика);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налог на имущество;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Изменения в Федеральный закон № 54-ФЗ – применение ККТ.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Проверки налоговых органов: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Камеральные проверки;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Выездная проверка;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Документарная проверка;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проверка применения ККТ.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Трудовое законодательство: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оформление работников (трудовые и иные договора);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заработная плата (МРОТ и д.р.);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охрана труда (специальная оценка условий труда);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проверки трудовой инспекции.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Арендные отношения.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Проверки контролирующих органов: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Россельхознадзор, общественные организации по защите прав потребителей;</w:t>
      </w:r>
    </w:p>
    <w:p>
      <w:pPr>
        <w:pStyle w:val="Normal"/>
        <w:widowControl w:val="false"/>
        <w:tabs>
          <w:tab w:val="clear" w:pos="708"/>
          <w:tab w:val="left" w:pos="993" w:leader="none"/>
          <w:tab w:val="left" w:pos="1276" w:leader="none"/>
        </w:tabs>
        <w:spacing w:lineRule="auto" w:line="276" w:before="0" w:after="0"/>
        <w:ind w:firstLine="709"/>
        <w:contextualSpacing/>
        <w:jc w:val="both"/>
        <w:rPr>
          <w:szCs w:val="28"/>
        </w:rPr>
      </w:pPr>
      <w:r>
        <w:rPr>
          <w:szCs w:val="28"/>
        </w:rPr>
        <w:t>- Применение Федерального закона № 294-ФЗ «О защите при прав предпринимателей при государственном, муниципальном контроле (надзоре);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Проверки при изготовлении и реализации продукции общественного питания;</w:t>
      </w:r>
    </w:p>
    <w:p>
      <w:pPr>
        <w:pStyle w:val="Normal"/>
        <w:widowControl w:val="false"/>
        <w:spacing w:lineRule="auto" w:line="276" w:before="0" w:after="0"/>
        <w:ind w:left="720" w:hanging="0"/>
        <w:contextualSpacing/>
        <w:jc w:val="both"/>
        <w:rPr>
          <w:szCs w:val="28"/>
        </w:rPr>
      </w:pPr>
      <w:r>
        <w:rPr>
          <w:szCs w:val="28"/>
        </w:rPr>
        <w:t>-  Проверки при реализации алкогольной пищевой и не пищевой продукции.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Досудебное и судебное разбирательство.</w:t>
      </w:r>
    </w:p>
    <w:p>
      <w:pPr>
        <w:pStyle w:val="Normal"/>
        <w:widowControl w:val="false"/>
        <w:numPr>
          <w:ilvl w:val="0"/>
          <w:numId w:val="1"/>
        </w:numPr>
        <w:spacing w:lineRule="auto" w:line="276" w:before="0" w:after="0"/>
        <w:contextualSpacing/>
        <w:jc w:val="both"/>
        <w:rPr>
          <w:b/>
          <w:b/>
          <w:szCs w:val="28"/>
        </w:rPr>
      </w:pPr>
      <w:r>
        <w:rPr>
          <w:b/>
          <w:szCs w:val="28"/>
        </w:rPr>
        <w:t>Ответы на вопросы.</w:t>
      </w:r>
    </w:p>
    <w:p>
      <w:pPr>
        <w:pStyle w:val="Normal"/>
        <w:widowControl w:val="false"/>
        <w:spacing w:lineRule="auto" w:line="276" w:before="0" w:after="0"/>
        <w:ind w:left="360" w:hanging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b/>
          <w:szCs w:val="28"/>
        </w:rPr>
        <w:t>Дата и время проведения:</w:t>
      </w:r>
      <w:r>
        <w:rPr>
          <w:szCs w:val="28"/>
        </w:rPr>
        <w:t xml:space="preserve"> 6 июня 2019 года с 10:00 – 12:00 </w:t>
      </w:r>
    </w:p>
    <w:p>
      <w:pPr>
        <w:pStyle w:val="Normal"/>
        <w:jc w:val="both"/>
        <w:rPr/>
      </w:pPr>
      <w:r>
        <w:rPr>
          <w:b/>
          <w:szCs w:val="28"/>
        </w:rPr>
        <w:t>Адрес проведения семинара:</w:t>
      </w:r>
      <w:r>
        <w:rPr>
          <w:szCs w:val="28"/>
        </w:rPr>
        <w:t xml:space="preserve"> Администрация Иркутского района                         (г. Иркутск, ул. Рабочего Штаба, 17, конференц-зал)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6c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LibreOffice/6.1.5.2$Linux_X86_64 LibreOffice_project/10$Build-2</Application>
  <Pages>1</Pages>
  <Words>169</Words>
  <Characters>1106</Characters>
  <CharactersWithSpaces>1284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2019-05-28T08:01:00Z</dcterms:created>
  <dc:creator>Ляхова Диана Евгеньевна</dc:creator>
  <dc:description/>
  <dc:language>ru-RU</dc:language>
  <cp:lastModifiedBy>Константин Анатольевич К.</cp:lastModifiedBy>
  <dcterms:modified xsi:type="dcterms:W3CDTF">2019-05-29T15:58:01Z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