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ДОГОВОР</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на оказание услуг по обращению с твердыми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коммунальными отходами</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г. Иркутск</w:t>
        <w:tab/>
        <w:tab/>
        <w:tab/>
        <w:tab/>
        <w:t xml:space="preserve"> </w:t>
        <w:tab/>
        <w:tab/>
        <w:tab/>
        <w:tab/>
        <w:tab/>
        <w:t xml:space="preserve">        «</w:t>
      </w:r>
      <w:r w:rsidDel="00000000" w:rsidR="00000000" w:rsidRPr="00000000">
        <w:rPr>
          <w:rFonts w:ascii="Times New Roman" w:cs="Times New Roman" w:eastAsia="Times New Roman" w:hAnsi="Times New Roman"/>
          <w:rtl w:val="0"/>
        </w:rPr>
        <w:t xml:space="preserve">__</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201</w:t>
      </w:r>
      <w:r w:rsidDel="00000000" w:rsidR="00000000" w:rsidRPr="00000000">
        <w:rPr>
          <w:rFonts w:ascii="Times New Roman" w:cs="Times New Roman" w:eastAsia="Times New Roman" w:hAnsi="Times New Roman"/>
          <w:rtl w:val="0"/>
        </w:rPr>
        <w:t xml:space="preserve">_</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г.</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Общество с ограниченной ответственностью «РТ-НЭО Иркутск», именуемое в дальнейшем «Региональный оператор», в лице генерального директора С</w:t>
      </w:r>
      <w:r w:rsidDel="00000000" w:rsidR="00000000" w:rsidRPr="00000000">
        <w:rPr>
          <w:rFonts w:ascii="Times New Roman" w:cs="Times New Roman" w:eastAsia="Times New Roman" w:hAnsi="Times New Roman"/>
          <w:rtl w:val="0"/>
        </w:rPr>
        <w:t xml:space="preserve">идорова Сергея Александровича</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действующего на основании Устава, с одной стороны</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и _____________________________________________________________________________________________,</w:t>
        <w:br w:type="textWrapping"/>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(наименование организации/ ФИО индивидуального предпринимателя)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именуемое в дальнейшем Потребителем, в лице  ______________________________________________________</w:t>
        <w:br w:type="textWrapping"/>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_______________________________________________________________________________________________,</w:t>
        <w:br w:type="textWrapping"/>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(наименование должности, ФИО руководителя юридического лица (сведения заполняются юридическими лицами)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действующего на основании _______________________________________________________________________,</w:t>
        <w:br w:type="textWrapping"/>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(положение, устав, доверенность, свидетельство для ИП (указать номер и дату выдачи свидетельства) (иное) (- указать нужное)</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  другой  стороны,  именуемые  в дальнейшем сторонами, заключили настоящий договор о нижеследующем:</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Предмет договора</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договору на оказание услуг по обращению с твердыми коммунальными отходами (далее - ТКО) Региональный оператор обязуется принимать твердые коммунальные отходы в объеме и в месте, которые определены в приложении №1 к настоящему договору, и обеспечивать их сбор, транспортирование, обработку,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Указанный договор заключается на основании заявки Потребителя.</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Объем </w:t>
      </w:r>
      <w:r w:rsidDel="00000000" w:rsidR="00000000" w:rsidRPr="00000000">
        <w:rPr>
          <w:rFonts w:ascii="Times New Roman" w:cs="Times New Roman" w:eastAsia="Times New Roman" w:hAnsi="Times New Roman"/>
          <w:rtl w:val="0"/>
        </w:rPr>
        <w:t xml:space="preserve">ТКО</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 места (площадки) сбора и накопления </w:t>
      </w:r>
      <w:r w:rsidDel="00000000" w:rsidR="00000000" w:rsidRPr="00000000">
        <w:rPr>
          <w:rFonts w:ascii="Times New Roman" w:cs="Times New Roman" w:eastAsia="Times New Roman" w:hAnsi="Times New Roman"/>
          <w:rtl w:val="0"/>
        </w:rPr>
        <w:t xml:space="preserve">ТКО</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 в том числе крупногабаритных отходов, и периодичность </w:t>
      </w:r>
      <w:r w:rsidDel="00000000" w:rsidR="00000000" w:rsidRPr="00000000">
        <w:rPr>
          <w:rFonts w:ascii="Times New Roman" w:cs="Times New Roman" w:eastAsia="Times New Roman" w:hAnsi="Times New Roman"/>
          <w:rtl w:val="0"/>
        </w:rPr>
        <w:t xml:space="preserve">транспортирования ТКО</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 а также информаци</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 </w:t>
      </w:r>
      <w:r w:rsidDel="00000000" w:rsidR="00000000" w:rsidRPr="00000000">
        <w:rPr>
          <w:rFonts w:ascii="Times New Roman" w:cs="Times New Roman" w:eastAsia="Times New Roman" w:hAnsi="Times New Roman"/>
          <w:rtl w:val="0"/>
        </w:rPr>
        <w:t xml:space="preserve">о географических координатах </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мест (площадок) сбора и накопления </w:t>
      </w:r>
      <w:r w:rsidDel="00000000" w:rsidR="00000000" w:rsidRPr="00000000">
        <w:rPr>
          <w:rFonts w:ascii="Times New Roman" w:cs="Times New Roman" w:eastAsia="Times New Roman" w:hAnsi="Times New Roman"/>
          <w:rtl w:val="0"/>
        </w:rPr>
        <w:t xml:space="preserve">ТКО</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 и подъездных путей к ним определяются согласно приложению №1 к настоящему договору.</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Способ складирования ТКО определяется с учетом имеющихся технологических возможностей, и может осуществляется следующим способом: </w:t>
      </w:r>
      <w:r w:rsidDel="00000000" w:rsidR="00000000" w:rsidRPr="00000000">
        <w:rPr>
          <w:rFonts w:ascii="Times New Roman" w:cs="Times New Roman" w:eastAsia="Times New Roman" w:hAnsi="Times New Roman"/>
          <w:rtl w:val="0"/>
        </w:rPr>
        <w:t xml:space="preserve">в контейнеры, расположенные на контейнерных площадках предназначенные для сбора ТК</w:t>
      </w: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i w:val="0"/>
          <w:smallCaps w:val="0"/>
          <w:strike w:val="0"/>
          <w:color w:val="000000"/>
          <w:vertAlign w:val="baseline"/>
          <w:rtl w:val="0"/>
        </w:rPr>
        <w:t xml:space="preserve">   (приложение №1).</w:t>
      </w:r>
      <w:r w:rsidDel="00000000" w:rsidR="00000000" w:rsidRPr="00000000">
        <w:rPr>
          <w:rtl w:val="0"/>
        </w:rPr>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vertAlign w:val="baseline"/>
          <w:rtl w:val="0"/>
        </w:rPr>
        <w:t xml:space="preserve">В случае изменение </w:t>
      </w:r>
      <w:r w:rsidDel="00000000" w:rsidR="00000000" w:rsidRPr="00000000">
        <w:rPr>
          <w:rFonts w:ascii="Times New Roman" w:cs="Times New Roman" w:eastAsia="Times New Roman" w:hAnsi="Times New Roman"/>
          <w:rtl w:val="0"/>
        </w:rPr>
        <w:t xml:space="preserve">сведений о местах (площадках) накопления ТКО, которые определены в приложении №1 к настоящему договору, Потребитель направляет Региональному оператору письменное заявление об изменении сведений о местах (площадках) накопления ТКО с указанием вносимых изменений.</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Складирование крупногабаритных отходов осуществляется: </w:t>
      </w:r>
      <w:r w:rsidDel="00000000" w:rsidR="00000000" w:rsidRPr="00000000">
        <w:rPr>
          <w:rFonts w:ascii="Times New Roman" w:cs="Times New Roman" w:eastAsia="Times New Roman" w:hAnsi="Times New Roman"/>
          <w:rtl w:val="0"/>
        </w:rPr>
        <w:t xml:space="preserve">в бункеры, расположенные на контейнерных площадках либо на специальных площадках складирования крупногабаритных отходов (приложение №1).</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непредставления Потребителем заявки на заключения договора на оказания услуг по обращению с ТКО, контейнерная площадка определяется Региональным оператором самостоятельно (ближайшая контейнерная площадка к местонахождению Потребителя</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vertAlign w:val="baseline"/>
          <w:rtl w:val="0"/>
        </w:rPr>
        <w:t xml:space="preserve">Дата начала оказания услуг по обращению с </w:t>
      </w:r>
      <w:r w:rsidDel="00000000" w:rsidR="00000000" w:rsidRPr="00000000">
        <w:rPr>
          <w:rFonts w:ascii="Times New Roman" w:cs="Times New Roman" w:eastAsia="Times New Roman" w:hAnsi="Times New Roman"/>
          <w:rtl w:val="0"/>
        </w:rPr>
        <w:t xml:space="preserve">ТКО</w:t>
      </w:r>
      <w:r w:rsidDel="00000000" w:rsidR="00000000" w:rsidRPr="00000000">
        <w:rPr>
          <w:rFonts w:ascii="Times New Roman" w:cs="Times New Roman" w:eastAsia="Times New Roman" w:hAnsi="Times New Roman"/>
          <w:i w:val="0"/>
          <w:smallCaps w:val="0"/>
          <w:strike w:val="0"/>
          <w:u w:val="none"/>
          <w:vertAlign w:val="baseline"/>
          <w:rtl w:val="0"/>
        </w:rPr>
        <w:t xml:space="preserve"> определяется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vertAlign w:val="baseline"/>
          <w:rtl w:val="0"/>
        </w:rPr>
        <w:t xml:space="preserve">«01» января 2019 года</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Периодичность вывоза установленная в приложении №1 является предположительной и может изменяться региональным оператором в одностороннем порядке, но с обязательным соблюдением требований законодательства о порядке обращения с твердыми коммунальными отходами.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Сроки и </w:t>
      </w:r>
      <w:r w:rsidDel="00000000" w:rsidR="00000000" w:rsidRPr="00000000">
        <w:rPr>
          <w:rFonts w:ascii="Times New Roman" w:cs="Times New Roman" w:eastAsia="Times New Roman" w:hAnsi="Times New Roman"/>
          <w:b w:val="1"/>
          <w:rtl w:val="0"/>
        </w:rPr>
        <w:t xml:space="preserve">порядок</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 оплаты по договору</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Непосредственный расчет ежемесячной платы по договору отражается в счете на оплату услуг по обращению с ТКО, предоставляемом региональным оператором Потребителю исходя из способа учета определенного Региональным оператором в соответствии с п. 5.1 настоящего договора. Начисление платы производится Потребителям с даты начала оказания услуг, указанной в п. 1.7 настоящего договора.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Стоимость дополнительных услуг Регионального оператора определяется на основании расценок установленными Региональными оператором. Оплата дополнительных услуг производится Потребителем на основании отдельного счета.</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Региональный оператор имеет право использовать понижающий коэффициент при начислении платы Потребителю на услуги по обращению с ТКО.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Информация об использовании понижающего коэффициента указывается в счете на оплату услуг по обращению с ТКО и данный понижающий коэффициент действует в течении 30 (тридцати) календарных дней с момента выставления данного счета.</w:t>
      </w:r>
      <w:r w:rsidDel="00000000" w:rsidR="00000000" w:rsidRPr="00000000">
        <w:rPr>
          <w:rFonts w:ascii="Times New Roman" w:cs="Times New Roman" w:eastAsia="Times New Roman" w:hAnsi="Times New Roman"/>
          <w:rtl w:val="0"/>
        </w:rPr>
        <w:t xml:space="preserve"> Если оплата услуг Потребителем не произведена в течении 30(тридцати) календарных дней с момента выставления счета, то оплата услуг производится в полном объеме без учета понижающего коэффициента.</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непредставления Потребителем заявки на заключения договора на оказание услуг по обращению с ТКО и отсутствия информации у Регионального оператора достоверной информации по расчетным единицам, в отношении которых устанавливается норматив образования ТКО, Региональный оператор производит начисление стоимости услуги по обращению с ТКО исходя из среднего количества расчетных единиц, рассчитанных Региональным оператором для соответствующего вида деятельности.</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обращении Потребителя в течение года и предоставлении сведений с указанием достоверной информации о расчетных единицах, по которым устанавливаются нормативы образования ТКО Региональным оператором, в случае подтверждения данной информации, производится перерасчет стоимости по договору об оказании услуг по обращению с ТКО, исходя из достоверных сведений, представленных Потребителем, но не более чем за 2 (два) календарных месяца.</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Счет, универсальный передаточный документ предоставляется Потребителю в срок до 05 числа месяца, следующего за отчетным, путем направления на адрес электронной почты указанной Потребителем в настоящем договоре. Счет, универсальный передаточный документ на бумажном носителе предоставляется Потребителю по адресу места нахождения Регионального оператора. Потребитель обязан рассмотреть и  подписать универсальный передаточный документ в течении 5 календарных дней. в со дня его получения или представить мотивированный отказ. В случае не поступления в адрес Регионального оператора  мотивированного отказа, Универсальный передаточный документ считается подписанным.</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ТКО, на основании выставленного счета. Датой оплаты считается дата зачисления денежных средств на расчетный счет Регионального оператора.</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Сверка расчетов по настоящему договору проводится между Региональным оператором и </w:t>
      </w:r>
      <w:r w:rsidDel="00000000" w:rsidR="00000000" w:rsidRPr="00000000">
        <w:rPr>
          <w:rFonts w:ascii="Times New Roman" w:cs="Times New Roman" w:eastAsia="Times New Roman" w:hAnsi="Times New Roman"/>
          <w:rtl w:val="0"/>
        </w:rPr>
        <w:t xml:space="preserve">Потребителем</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не реже чем один</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раз в год по инициативе одной из сторон путем составления и подписания сторонами соответствующего акта.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рабочих дней со дня его получения или представить мотивированный отказ от его подписания с направлением своего варианта акта сверки расчетов. </w:t>
      </w:r>
      <w:r w:rsidDel="00000000" w:rsidR="00000000" w:rsidRPr="00000000">
        <w:rPr>
          <w:rFonts w:ascii="Times New Roman" w:cs="Times New Roman" w:eastAsia="Times New Roman" w:hAnsi="Times New Roman"/>
          <w:rtl w:val="0"/>
        </w:rPr>
        <w:t xml:space="preserve">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Бремя </w:t>
      </w:r>
      <w:r w:rsidDel="00000000" w:rsidR="00000000" w:rsidRPr="00000000">
        <w:rPr>
          <w:rFonts w:ascii="Times New Roman" w:cs="Times New Roman" w:eastAsia="Times New Roman" w:hAnsi="Times New Roman"/>
          <w:b w:val="1"/>
          <w:rtl w:val="0"/>
        </w:rPr>
        <w:t xml:space="preserve">содержания</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 контейнерных площадок, специальных площадок для складирования</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крупногабаритных отходов и территории, прилегающей к месту погрузки </w:t>
      </w:r>
      <w:r w:rsidDel="00000000" w:rsidR="00000000" w:rsidRPr="00000000">
        <w:rPr>
          <w:rFonts w:ascii="Times New Roman" w:cs="Times New Roman" w:eastAsia="Times New Roman" w:hAnsi="Times New Roman"/>
          <w:b w:val="1"/>
          <w:rtl w:val="0"/>
        </w:rPr>
        <w:t xml:space="preserve">ТКО</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Региональный оператор по обращению с ТКО отвечает за обращение с твердыми коммунальными отходами с момента погрузки таких отходов в мусоровоз в местах сбора и накопления ТКО.</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либо индивидуальном жилом строении (доме), либо лицо, привлекаемое собственниками помещений в многоквартирном доме по договорам оказания услуг по содержанию общего имущества в таком доме.</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7.204724409448886"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Региональный оператор вправе самостоятельно без согласования, собственников помещений в многоквартирном доме либо индивидуальном жилом строении (доме), либо лица, привлекаемого собственниками помещений в многоквартирном доме по договорам оказания услуг по содержанию общего имущества в таком доме,осуществлять погрузку крупногабаритных отходов, как дополнительную услугу, в случае е</w:t>
      </w:r>
      <w:r w:rsidDel="00000000" w:rsidR="00000000" w:rsidRPr="00000000">
        <w:rPr>
          <w:rFonts w:ascii="Times New Roman" w:cs="Times New Roman" w:eastAsia="Times New Roman" w:hAnsi="Times New Roman"/>
          <w:rtl w:val="0"/>
        </w:rPr>
        <w:t xml:space="preserve">сли крупногабаритные отходы находятся вне бункера, расположенного на контейнерной площадке и не на специальных площадках для их складирования.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Права и обязанности сторон</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Региональный</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оператор обязан:</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принимать</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rtl w:val="0"/>
        </w:rPr>
        <w:t xml:space="preserve">ТКО</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в объеме и в месте, которые определены в </w:t>
      </w:r>
      <w:hyperlink w:anchor="30j0zll">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приложении</w:t>
        </w:r>
      </w:hyperlink>
      <w:r w:rsidDel="00000000" w:rsidR="00000000" w:rsidRPr="00000000">
        <w:rPr>
          <w:rFonts w:ascii="Times New Roman" w:cs="Times New Roman" w:eastAsia="Times New Roman" w:hAnsi="Times New Roman"/>
          <w:rtl w:val="0"/>
        </w:rPr>
        <w:t xml:space="preserve"> №1</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к настоящему договору;</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письменному заявлению Потребителя  вносить изменения в  сведения о местах (площадках) накопления ТКО в приложение №1 к настоящему договору, в течение 5 (пяти) дней с момента получения такого заявления;</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обеспечивать сбор, транспортирование, обработку, захоронение принятых ТКО в соответствии с законодательством Российской Федерации;</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Оригинал договора предоставляется Потребителю по адресу места нахождения Регионального оператора.</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Региональный</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оператор имеет право:</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осуществлять контроль за учетом объема и (или) массы принятых ТКО;</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инициировать проведение сверки расчетов по настоящему договору;</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требовать от Потребителя  надлежащего содержания мест(площадок) накопления ТКО при условии если Потребитель является собственником мест (площадок) накопления ТКО, либо на него возложена обязанность по их содержанию;</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требовать от Потребителя содержание контейнеров находящихся в местах (площадках) накопления ТКО при условии если Потребитель является собственником данных контейнеров, либо на него возложена обязанность по их содержанию;</w:t>
      </w:r>
    </w:p>
    <w:p w:rsidR="00000000" w:rsidDel="00000000" w:rsidP="00000000" w:rsidRDefault="00000000" w:rsidRPr="00000000" w14:paraId="00000039">
      <w:pPr>
        <w:numPr>
          <w:ilvl w:val="2"/>
          <w:numId w:val="1"/>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производить очистку контейнерных площадок от ТКО при неоднократных обращениях пользователей (двух и более раз) в случае бездействия со стороны собственников мест (площадок) накопления ТКО, и взимать плату за дополнительную услугу в  соответствии с расценками установленными Региональным оператором;</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возмездно предоставлять контейнеры для складирования ТКО на контейнерные площадки в случае их отсутствия или недостаточного количества;</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осуществлять погрузку крупногабаритных отходов, в качестве  дополнительной услугу, в соответствии с расценками установленными Региональным оператором;</w:t>
      </w:r>
    </w:p>
    <w:p w:rsidR="00000000" w:rsidDel="00000000" w:rsidP="00000000" w:rsidRDefault="00000000" w:rsidRPr="00000000" w14:paraId="0000003C">
      <w:pPr>
        <w:numPr>
          <w:ilvl w:val="2"/>
          <w:numId w:val="1"/>
        </w:numPr>
        <w:spacing w:line="240" w:lineRule="auto"/>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rtl w:val="0"/>
        </w:rPr>
        <w:t xml:space="preserve">тказаться от транспортирования ТКО в случае</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поджога ТКО (Доказательством факта поджога ТКО являются материалы фото и/или видеосъемки) и при понижении температуры воздуха ниже -33 С.</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Потребитель</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обязан:</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осуществлять складирование ТКО в местах (площадках) накопления ТКО, которые определены в приложении №1 к настоящему договору, в соответствии с территориальной схемой обращения с отходами;</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направлять Региональному оператору письменное заявление об изменении сведений о местах (площадках) накопления ТКО, с указанием вносимых изменений;</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обеспечивать учет объема и (или) массы ТКО в соответствии с </w:t>
      </w:r>
      <w:hyperlink r:id="rId6">
        <w:r w:rsidDel="00000000" w:rsidR="00000000" w:rsidRPr="00000000">
          <w:rPr>
            <w:rFonts w:ascii="Times New Roman" w:cs="Times New Roman" w:eastAsia="Times New Roman" w:hAnsi="Times New Roman"/>
            <w:rtl w:val="0"/>
          </w:rPr>
          <w:t xml:space="preserve">Правилами</w:t>
        </w:r>
      </w:hyperlink>
      <w:r w:rsidDel="00000000" w:rsidR="00000000" w:rsidRPr="00000000">
        <w:rPr>
          <w:rFonts w:ascii="Times New Roman" w:cs="Times New Roman" w:eastAsia="Times New Roman" w:hAnsi="Times New Roman"/>
          <w:rtl w:val="0"/>
        </w:rPr>
        <w:t xml:space="preserve"> коммерческого учета объема и (или) массы ТКО,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r w:rsidDel="00000000" w:rsidR="00000000" w:rsidRPr="00000000">
        <w:rPr>
          <w:rtl w:val="0"/>
        </w:rPr>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производить оплату по настоящему договору в порядке, размере и сроки, которые определены настоящим договором;</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производить оплату дополнительных услуг, указанных в  п. 4.2.5, п. 4.2.6  и в п. 4.2.7 настоящего договора;</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обеспечивать складирование ТКО в контейнеры или иные места в соответствии с приложением к настоящему договору;</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допускать повреждения контейнеров, сжигания ТКО в контейнерах, а также на контейнерных площадках, складирования в контейнерах запрещенных отходов и предметов;</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назначить лицо, ответственное за взаимодействие с Региональным оператором по вопросам исполнения настоящего договора;</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000000" w:rsidDel="00000000" w:rsidP="00000000" w:rsidRDefault="00000000" w:rsidRPr="00000000" w14:paraId="00000047">
      <w:pPr>
        <w:numPr>
          <w:ilvl w:val="2"/>
          <w:numId w:val="1"/>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содержать места (площадки) накопления ТКО при условии если Потребитель является собственником мест (площадок) накопления ТКО, либо на него возложена обязанность по их содержанию;</w:t>
      </w:r>
    </w:p>
    <w:p w:rsidR="00000000" w:rsidDel="00000000" w:rsidP="00000000" w:rsidRDefault="00000000" w:rsidRPr="00000000" w14:paraId="00000048">
      <w:pPr>
        <w:numPr>
          <w:ilvl w:val="2"/>
          <w:numId w:val="1"/>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содержать контейнер(ы) находящихся в местах (площадках) накопления ТКО при условии если Потребитель является собственником данных контейнеров, либо на него возложена обязанность по их содержанию. </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5" w:right="0" w:hanging="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Потребитель имеет право:</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получать от Регионального оператора информацию об изменении установленных тарифов в области обращения с ТКО;</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инициировать проведение сверки расчетов по настоящему договору.</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необходимости получения оригиналов документов: акта оказанных услуг, счета и счета-фактуры и иной первичной документации Потребитель заказывает и оплачивает доставку в свой адрес самостоятельно.</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Порядок осуществления учета объема и (или) массы ТКО</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Стороны согласились производить учет объема ТКО в соответствии с </w:t>
      </w:r>
      <w:hyperlink r:id="rId7">
        <w:r w:rsidDel="00000000" w:rsidR="00000000" w:rsidRPr="00000000">
          <w:rPr>
            <w:rFonts w:ascii="Times New Roman" w:cs="Times New Roman" w:eastAsia="Times New Roman" w:hAnsi="Times New Roman"/>
            <w:rtl w:val="0"/>
          </w:rPr>
          <w:t xml:space="preserve">Правилами</w:t>
        </w:r>
      </w:hyperlink>
      <w:r w:rsidDel="00000000" w:rsidR="00000000" w:rsidRPr="00000000">
        <w:rPr>
          <w:rFonts w:ascii="Times New Roman" w:cs="Times New Roman" w:eastAsia="Times New Roman" w:hAnsi="Times New Roman"/>
          <w:rtl w:val="0"/>
        </w:rPr>
        <w:t xml:space="preserve"> коммерческого учета объема ТКО,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w:t>
      </w:r>
      <w:r w:rsidDel="00000000" w:rsidR="00000000" w:rsidRPr="00000000">
        <w:rPr>
          <w:rFonts w:ascii="Times New Roman" w:cs="Times New Roman" w:eastAsia="Times New Roman" w:hAnsi="Times New Roman"/>
          <w:rtl w:val="0"/>
        </w:rPr>
        <w:t xml:space="preserve">расчетным путем исходя из нормативов накопления твердых коммунальных отходов, выраженных в количественных показателях объема.</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Порядок фиксации нарушений по договору</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При неявке представителя Регионального оператора Потребитель составляет указанный акт в присутствии не менее чем 2 незаинтересованных лиц с использованием фото- 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Региональный оператор в течение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рабочих дней со дня получения акта. </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В случае если Региональный оператор не направил подписанный акт или возражения на акт в течение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рабочих дней со дня получения акта, такой акт считается согласованным и подписанным Региональным оператором.</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Акт должен содержать:</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сведения о заявителе: наименование, адрес места нахождения, ИНН, ОГРН, документ подтверждающий полномочия заявителя;</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сведения об объекте (объектах), на котором образуются </w:t>
      </w:r>
      <w:r w:rsidDel="00000000" w:rsidR="00000000" w:rsidRPr="00000000">
        <w:rPr>
          <w:rFonts w:ascii="Times New Roman" w:cs="Times New Roman" w:eastAsia="Times New Roman" w:hAnsi="Times New Roman"/>
          <w:rtl w:val="0"/>
        </w:rPr>
        <w:t xml:space="preserve">ТКО</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сведения о нарушении соответствующих пунктов договора;</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другие сведения по усмотрению стороны, в том числе материалы фото- и видеосъемки.</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Ответственность сторо</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н</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За </w:t>
      </w:r>
      <w:r w:rsidDel="00000000" w:rsidR="00000000" w:rsidRPr="00000000">
        <w:rPr>
          <w:rFonts w:ascii="Times New Roman" w:cs="Times New Roman" w:eastAsia="Times New Roman" w:hAnsi="Times New Roman"/>
          <w:rtl w:val="0"/>
        </w:rPr>
        <w:t xml:space="preserve">неисполнение</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перемещение Потребителем контейнеров с места первичного накопления отходов;</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возгорание отходов в контейнерах;</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техническая неисправность контейнера.        </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этом Региональный оператор не позднее 20 часов 00 минут текущего дня уведомляет Потребителя о факте невозможности исполнения обязательств по номеру контактного телефона  или адресу электронной почты Потребителя, указанных в настоящем договоре. </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неисполнения, либо ненадлежащего исполнения Потребителем своих обязательств по настоящему Договору, не связанных с оплатой услуг, Региональный оператор вправе потребовать от Потребителя уплаты штрафа. Размер штрафа устанавливается в виде фиксированной суммы в размере 10 000 (десяти тысяч) рублей 00 копеек за каждый факт нарушения Потребителем  своих обязательств, предусмотренных настоящим договором.</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w:t>
      </w:r>
      <w:r w:rsidDel="00000000" w:rsidR="00000000" w:rsidRPr="00000000">
        <w:rPr>
          <w:rFonts w:ascii="Times New Roman" w:cs="Times New Roman" w:eastAsia="Times New Roman" w:hAnsi="Times New Roman"/>
          <w:rtl w:val="0"/>
        </w:rPr>
        <w:t xml:space="preserve">нарушение</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правил обращения с </w:t>
      </w:r>
      <w:r w:rsidDel="00000000" w:rsidR="00000000" w:rsidRPr="00000000">
        <w:rPr>
          <w:rFonts w:ascii="Times New Roman" w:cs="Times New Roman" w:eastAsia="Times New Roman" w:hAnsi="Times New Roman"/>
          <w:rtl w:val="0"/>
        </w:rPr>
        <w:t xml:space="preserve">ТКО</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в части складирования </w:t>
      </w:r>
      <w:r w:rsidDel="00000000" w:rsidR="00000000" w:rsidRPr="00000000">
        <w:rPr>
          <w:rFonts w:ascii="Times New Roman" w:cs="Times New Roman" w:eastAsia="Times New Roman" w:hAnsi="Times New Roman"/>
          <w:rtl w:val="0"/>
        </w:rPr>
        <w:t xml:space="preserve">ТКО</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Обстоятельства непреодолимой силы</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Действие договора и прочие условия</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заключается на один календарный год.</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может быть расторгнут до окончания срока его действия по соглашению сторон.</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распространяет свое действия на все отношения возникшие с 01 января 2019 г.</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сторон (при их наличии).</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8">
        <w:r w:rsidDel="00000000" w:rsidR="00000000" w:rsidRPr="00000000">
          <w:rPr>
            <w:rFonts w:ascii="Times New Roman" w:cs="Times New Roman" w:eastAsia="Times New Roman" w:hAnsi="Times New Roman"/>
            <w:rtl w:val="0"/>
          </w:rPr>
          <w:t xml:space="preserve">закона</w:t>
        </w:r>
      </w:hyperlink>
      <w:r w:rsidDel="00000000" w:rsidR="00000000" w:rsidRPr="00000000">
        <w:rPr>
          <w:rFonts w:ascii="Times New Roman" w:cs="Times New Roman" w:eastAsia="Times New Roman" w:hAnsi="Times New Roman"/>
          <w:rtl w:val="0"/>
        </w:rPr>
        <w:t xml:space="preserve"> «Об отходах производства и потребления» и иными нормативными правовыми актами Российской Федерации в сфере обращения с ТКО.</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составлен в 2 экземплярах, имеющих равную юридическую силу.</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hyperlink w:anchor="30j0zll">
        <w:r w:rsidDel="00000000" w:rsidR="00000000" w:rsidRPr="00000000">
          <w:rPr>
            <w:rFonts w:ascii="Times New Roman" w:cs="Times New Roman" w:eastAsia="Times New Roman" w:hAnsi="Times New Roman"/>
            <w:rtl w:val="0"/>
          </w:rPr>
          <w:t xml:space="preserve">Приложение</w:t>
        </w:r>
      </w:hyperlink>
      <w:r w:rsidDel="00000000" w:rsidR="00000000" w:rsidRPr="00000000">
        <w:rPr>
          <w:rFonts w:ascii="Times New Roman" w:cs="Times New Roman" w:eastAsia="Times New Roman" w:hAnsi="Times New Roman"/>
          <w:rtl w:val="0"/>
        </w:rPr>
        <w:t xml:space="preserve"> №1 к настоящему договору является его неотъемлемой частью.</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Потребитель вправе получать в офисе Регионального оператора не чаще чем один раз в квартал оригиналы первичную документацию (счет, универсальный передаточный документ и т.п.). Стороны договорились о возможности использования в качестве официальных, документы, переданные посредством факсимильной связи, по электронной почте, а также путем размещения их в личном кабинете Потребителя на официальном сайте Регионального оператора. Полученные таким образом документы будут иметь юридическую силу до получения оригиналов документов</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Стороны пришли к соглашению о том, что использование при заключении и исполнении настоящего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приравнивается к собственноручной подписи.</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566.929133858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Стороны признают юридическую силу за письмами – документами, договорами направленными по электронной почте (e-mail),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Реквизиты и подписи сторон:</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rPr>
      </w:pPr>
      <w:r w:rsidDel="00000000" w:rsidR="00000000" w:rsidRPr="00000000">
        <w:rPr>
          <w:rtl w:val="0"/>
        </w:rPr>
      </w:r>
    </w:p>
    <w:tbl>
      <w:tblPr>
        <w:tblStyle w:val="Table1"/>
        <w:tblW w:w="96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3607.5"/>
        <w:gridCol w:w="3607.5"/>
        <w:tblGridChange w:id="0">
          <w:tblGrid>
            <w:gridCol w:w="2445"/>
            <w:gridCol w:w="3607.5"/>
            <w:gridCol w:w="3607.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Arial" w:cs="Arial" w:eastAsia="Arial" w:hAnsi="Arial"/>
                <w:b w:val="1"/>
              </w:rPr>
            </w:pPr>
            <w:r w:rsidDel="00000000" w:rsidR="00000000" w:rsidRPr="00000000">
              <w:rPr>
                <w:rFonts w:ascii="Times New Roman" w:cs="Times New Roman" w:eastAsia="Times New Roman" w:hAnsi="Times New Roman"/>
                <w:b w:val="1"/>
                <w:rtl w:val="0"/>
              </w:rPr>
              <w:t xml:space="preserve">Сведения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rFonts w:ascii="Arial" w:cs="Arial" w:eastAsia="Arial" w:hAnsi="Arial"/>
                <w:b w:val="1"/>
              </w:rPr>
            </w:pPr>
            <w:r w:rsidDel="00000000" w:rsidR="00000000" w:rsidRPr="00000000">
              <w:rPr>
                <w:rFonts w:ascii="Times New Roman" w:cs="Times New Roman" w:eastAsia="Times New Roman" w:hAnsi="Times New Roman"/>
                <w:b w:val="1"/>
                <w:rtl w:val="0"/>
              </w:rPr>
              <w:t xml:space="preserve">Региональный оператор</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rPr>
                <w:rFonts w:ascii="Arial" w:cs="Arial" w:eastAsia="Arial" w:hAnsi="Arial"/>
                <w:b w:val="1"/>
              </w:rPr>
            </w:pPr>
            <w:r w:rsidDel="00000000" w:rsidR="00000000" w:rsidRPr="00000000">
              <w:rPr>
                <w:rFonts w:ascii="Times New Roman" w:cs="Times New Roman" w:eastAsia="Times New Roman" w:hAnsi="Times New Roman"/>
                <w:b w:val="1"/>
                <w:rtl w:val="0"/>
              </w:rPr>
              <w:t xml:space="preserve">Потребитель</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Наименование</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ООО "РТ-НЭО Иркутск"</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rPr>
                <w:rFonts w:ascii="Arial" w:cs="Arial" w:eastAsia="Arial" w:hAnsi="Arial"/>
              </w:rPr>
            </w:pPr>
            <w:r w:rsidDel="00000000" w:rsidR="00000000" w:rsidRPr="00000000">
              <w:rPr>
                <w:rtl w:val="0"/>
              </w:rPr>
            </w:r>
          </w:p>
        </w:tc>
      </w:tr>
      <w:tr>
        <w:trPr>
          <w:trHeight w:val="94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Юридический адрес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308000, Белгородская область, город Белгород, проспект Б. Хмельницкого, дом 131, помещение 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rFonts w:ascii="Arial" w:cs="Arial" w:eastAsia="Arial" w:hAnsi="Arial"/>
              </w:rPr>
            </w:pP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Фактический адрес (место нахождения)</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664033, Иркутская область, г. Иркутск, ул.Лермонтова, 337 Б</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rPr>
                <w:rFonts w:ascii="Arial" w:cs="Arial" w:eastAsia="Arial" w:hAnsi="Arial"/>
              </w:rPr>
            </w:pP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Почтовый адрес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664033, Иркутская область, г. Иркутск, а/я 349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Адрес электронной почты</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contact@rtneo-irk.ru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Телефон</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8(3952)43-44-11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ИНН</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3812065046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КПП</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312301001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ОГРН</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1023801748948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rPr>
                <w:rFonts w:ascii="Arial" w:cs="Arial" w:eastAsia="Arial" w:hAnsi="Arial"/>
              </w:rPr>
            </w:pPr>
            <w:r w:rsidDel="00000000" w:rsidR="00000000" w:rsidRPr="00000000">
              <w:rPr>
                <w:rtl w:val="0"/>
              </w:rPr>
            </w:r>
          </w:p>
        </w:tc>
      </w:tr>
      <w:tr>
        <w:trPr>
          <w:trHeight w:val="300" w:hRule="atLeast"/>
        </w:trPr>
        <w:tc>
          <w:tcPr>
            <w:gridSpan w:val="3"/>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Банковские реквизиты</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Р/С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40702810508030004951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rPr>
                <w:rFonts w:ascii="Arial" w:cs="Arial" w:eastAsia="Arial" w:hAnsi="Arial"/>
              </w:rPr>
            </w:pP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БАНК</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в ФИЛИАЛЕ БАНКА ВТБ (ПАО) В Г.КРАСНОЯРСКЕ</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К/С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30101810200000000777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БИК</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40407777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Должность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Генеральный директор</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ФИО</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Сидоров С.А.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rPr>
                <w:rFonts w:ascii="Arial" w:cs="Arial" w:eastAsia="Arial" w:hAnsi="Arial"/>
              </w:rPr>
            </w:pPr>
            <w:r w:rsidDel="00000000" w:rsidR="00000000" w:rsidRPr="00000000">
              <w:rPr>
                <w:rFonts w:ascii="Times New Roman" w:cs="Times New Roman" w:eastAsia="Times New Roman" w:hAnsi="Times New Roman"/>
                <w:rtl w:val="0"/>
              </w:rPr>
              <w:t xml:space="preserve">Подпись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jc w:val="right"/>
        <w:rPr/>
      </w:pPr>
      <w:r w:rsidDel="00000000" w:rsidR="00000000" w:rsidRPr="00000000">
        <w:rPr>
          <w:rtl w:val="0"/>
        </w:rPr>
        <w:t xml:space="preserve">  М.П</w:t>
        <w:tab/>
        <w:t xml:space="preserve">                                                                       МП.</w:t>
        <w:tab/>
        <w:t xml:space="preserve">                   </w:t>
        <w:tab/>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№1 </w:t>
      </w:r>
    </w:p>
    <w:p w:rsidR="00000000" w:rsidDel="00000000" w:rsidP="00000000" w:rsidRDefault="00000000" w:rsidRPr="00000000" w14:paraId="000000C3">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договору _________/ТКО  от  ______________г.</w:t>
      </w:r>
    </w:p>
    <w:p w:rsidR="00000000" w:rsidDel="00000000" w:rsidP="00000000" w:rsidRDefault="00000000" w:rsidRPr="00000000" w14:paraId="000000C4">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оказание</w:t>
      </w:r>
    </w:p>
    <w:p w:rsidR="00000000" w:rsidDel="00000000" w:rsidP="00000000" w:rsidRDefault="00000000" w:rsidRPr="00000000" w14:paraId="000000C5">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услуг по обращению с твердыми</w:t>
      </w:r>
    </w:p>
    <w:p w:rsidR="00000000" w:rsidDel="00000000" w:rsidP="00000000" w:rsidRDefault="00000000" w:rsidRPr="00000000" w14:paraId="000000C6">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коммунальными отходами</w:t>
      </w:r>
    </w:p>
    <w:bookmarkStart w:colFirst="0" w:colLast="0" w:name="kix.h42ddultbkng" w:id="0"/>
    <w:bookmarkEnd w:id="0"/>
    <w:p w:rsidR="00000000" w:rsidDel="00000000" w:rsidP="00000000" w:rsidRDefault="00000000" w:rsidRPr="00000000" w14:paraId="000000C7">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ИНФОРМАЦИЯ ПО ПРЕДМЕТУ ДОГОВОРА</w:t>
      </w:r>
    </w:p>
    <w:p w:rsidR="00000000" w:rsidDel="00000000" w:rsidP="00000000" w:rsidRDefault="00000000" w:rsidRPr="00000000" w14:paraId="000000C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Объем и место сбора и накопления твердых коммунальных отходов</w:t>
      </w:r>
    </w:p>
    <w:p w:rsidR="00000000" w:rsidDel="00000000" w:rsidP="00000000" w:rsidRDefault="00000000" w:rsidRPr="00000000" w14:paraId="000000CA">
      <w:pPr>
        <w:widowControl w:val="0"/>
        <w:jc w:val="center"/>
        <w:rPr>
          <w:rFonts w:ascii="Times New Roman" w:cs="Times New Roman" w:eastAsia="Times New Roman" w:hAnsi="Times New Roman"/>
        </w:rPr>
      </w:pPr>
      <w:r w:rsidDel="00000000" w:rsidR="00000000" w:rsidRPr="00000000">
        <w:rPr>
          <w:rtl w:val="0"/>
        </w:rPr>
      </w:r>
    </w:p>
    <w:tbl>
      <w:tblPr>
        <w:tblStyle w:val="Table2"/>
        <w:tblW w:w="10020.0" w:type="dxa"/>
        <w:jc w:val="left"/>
        <w:tblInd w:w="-7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
        <w:gridCol w:w="1041"/>
        <w:gridCol w:w="516"/>
        <w:gridCol w:w="567"/>
        <w:gridCol w:w="1276"/>
        <w:gridCol w:w="1043"/>
        <w:gridCol w:w="1045"/>
        <w:gridCol w:w="1452"/>
        <w:gridCol w:w="1210"/>
        <w:gridCol w:w="1447"/>
        <w:tblGridChange w:id="0">
          <w:tblGrid>
            <w:gridCol w:w="423"/>
            <w:gridCol w:w="1041"/>
            <w:gridCol w:w="516"/>
            <w:gridCol w:w="567"/>
            <w:gridCol w:w="1276"/>
            <w:gridCol w:w="1043"/>
            <w:gridCol w:w="1045"/>
            <w:gridCol w:w="1452"/>
            <w:gridCol w:w="1210"/>
            <w:gridCol w:w="1447"/>
          </w:tblGrid>
        </w:tblGridChange>
      </w:tblGrid>
      <w:tr>
        <w:tc>
          <w:tcPr/>
          <w:p w:rsidR="00000000" w:rsidDel="00000000" w:rsidP="00000000" w:rsidRDefault="00000000" w:rsidRPr="00000000" w14:paraId="000000C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 п/п</w:t>
            </w:r>
          </w:p>
        </w:tc>
        <w:tc>
          <w:tcPr/>
          <w:p w:rsidR="00000000" w:rsidDel="00000000" w:rsidP="00000000" w:rsidRDefault="00000000" w:rsidRPr="00000000" w14:paraId="000000C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Адрес для определения координат</w:t>
            </w:r>
          </w:p>
        </w:tc>
        <w:tc>
          <w:tcPr/>
          <w:p w:rsidR="00000000" w:rsidDel="00000000" w:rsidP="00000000" w:rsidRDefault="00000000" w:rsidRPr="00000000" w14:paraId="000000C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Долгота</w:t>
            </w:r>
          </w:p>
        </w:tc>
        <w:tc>
          <w:tcPr/>
          <w:p w:rsidR="00000000" w:rsidDel="00000000" w:rsidP="00000000" w:rsidRDefault="00000000" w:rsidRPr="00000000" w14:paraId="000000C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Широта</w:t>
            </w:r>
          </w:p>
        </w:tc>
        <w:tc>
          <w:tcPr/>
          <w:p w:rsidR="00000000" w:rsidDel="00000000" w:rsidP="00000000" w:rsidRDefault="00000000" w:rsidRPr="00000000" w14:paraId="000000CF">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Наименования юридического лица</w:t>
            </w:r>
          </w:p>
        </w:tc>
        <w:tc>
          <w:tcPr/>
          <w:p w:rsidR="00000000" w:rsidDel="00000000" w:rsidP="00000000" w:rsidRDefault="00000000" w:rsidRPr="00000000" w14:paraId="000000D0">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Объем твердых коммунальных отходов, м3</w:t>
            </w:r>
          </w:p>
        </w:tc>
        <w:tc>
          <w:tcPr/>
          <w:p w:rsidR="00000000" w:rsidDel="00000000" w:rsidP="00000000" w:rsidRDefault="00000000" w:rsidRPr="00000000" w14:paraId="000000D1">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Объем контейнера</w:t>
            </w:r>
          </w:p>
        </w:tc>
        <w:tc>
          <w:tcPr/>
          <w:p w:rsidR="00000000" w:rsidDel="00000000" w:rsidP="00000000" w:rsidRDefault="00000000" w:rsidRPr="00000000" w14:paraId="000000D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Материал контейнера (если объем недостаточен для определения типа контейнера)</w:t>
            </w:r>
          </w:p>
        </w:tc>
        <w:tc>
          <w:tcPr/>
          <w:p w:rsidR="00000000" w:rsidDel="00000000" w:rsidP="00000000" w:rsidRDefault="00000000" w:rsidRPr="00000000" w14:paraId="000000D3">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Количество контейнеров данного типа</w:t>
            </w:r>
          </w:p>
        </w:tc>
        <w:tc>
          <w:tcPr/>
          <w:p w:rsidR="00000000" w:rsidDel="00000000" w:rsidP="00000000" w:rsidRDefault="00000000" w:rsidRPr="00000000" w14:paraId="000000D4">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Периодичность вывоза</w:t>
            </w:r>
          </w:p>
        </w:tc>
      </w:tr>
      <w:tr>
        <w:tc>
          <w:tcPr/>
          <w:p w:rsidR="00000000" w:rsidDel="00000000" w:rsidP="00000000" w:rsidRDefault="00000000" w:rsidRPr="00000000" w14:paraId="000000D5">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0D6">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D7">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D8">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D9">
            <w:pPr>
              <w:widowControl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A">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DB">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DC">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DD">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DE">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DF">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соответствии с действующим законодательством</w:t>
            </w:r>
          </w:p>
        </w:tc>
      </w:tr>
      <w:tr>
        <w:tc>
          <w:tcPr/>
          <w:p w:rsidR="00000000" w:rsidDel="00000000" w:rsidP="00000000" w:rsidRDefault="00000000" w:rsidRPr="00000000" w14:paraId="000000E0">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1">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ИТОГО</w:t>
            </w:r>
          </w:p>
        </w:tc>
        <w:tc>
          <w:tcPr/>
          <w:p w:rsidR="00000000" w:rsidDel="00000000" w:rsidP="00000000" w:rsidRDefault="00000000" w:rsidRPr="00000000" w14:paraId="000000E2">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3">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4">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5">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6">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7">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8">
            <w:pPr>
              <w:widowControl w:val="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9">
            <w:pPr>
              <w:widowControl w:val="0"/>
              <w:jc w:val="cente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EA">
      <w:pPr>
        <w:widowControl w:val="0"/>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widowControl w:val="0"/>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widowControl w:val="0"/>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Расчет объема </w:t>
      </w:r>
      <w:r w:rsidDel="00000000" w:rsidR="00000000" w:rsidRPr="00000000">
        <w:rPr>
          <w:rFonts w:ascii="Times New Roman" w:cs="Times New Roman" w:eastAsia="Times New Roman" w:hAnsi="Times New Roman"/>
          <w:rtl w:val="0"/>
        </w:rPr>
        <w:t xml:space="preserve">твердых  коммунальных отходов</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E">
      <w:pPr>
        <w:jc w:val="center"/>
        <w:rPr>
          <w:rFonts w:ascii="Times New Roman" w:cs="Times New Roman" w:eastAsia="Times New Roman" w:hAnsi="Times New Roman"/>
          <w:sz w:val="22"/>
          <w:szCs w:val="22"/>
        </w:rPr>
      </w:pPr>
      <w:r w:rsidDel="00000000" w:rsidR="00000000" w:rsidRPr="00000000">
        <w:rPr>
          <w:rtl w:val="0"/>
        </w:rPr>
      </w:r>
    </w:p>
    <w:tbl>
      <w:tblPr>
        <w:tblStyle w:val="Table3"/>
        <w:tblW w:w="9957.0" w:type="dxa"/>
        <w:jc w:val="left"/>
        <w:tblInd w:w="-7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7"/>
        <w:gridCol w:w="2126"/>
        <w:gridCol w:w="2552"/>
        <w:gridCol w:w="2722"/>
        <w:tblGridChange w:id="0">
          <w:tblGrid>
            <w:gridCol w:w="2557"/>
            <w:gridCol w:w="2126"/>
            <w:gridCol w:w="2552"/>
            <w:gridCol w:w="2722"/>
          </w:tblGrid>
        </w:tblGridChange>
      </w:tblGrid>
      <w:tr>
        <w:trPr>
          <w:trHeight w:val="440" w:hRule="atLeast"/>
        </w:trPr>
        <w:tc>
          <w:tcPr>
            <w:vAlign w:val="center"/>
          </w:tcPr>
          <w:p w:rsidR="00000000" w:rsidDel="00000000" w:rsidP="00000000" w:rsidRDefault="00000000" w:rsidRPr="00000000" w14:paraId="000000E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Расчетная единица, в отношении которой установлен норматив</w:t>
            </w:r>
          </w:p>
        </w:tc>
        <w:tc>
          <w:tcPr>
            <w:vAlign w:val="center"/>
          </w:tcPr>
          <w:p w:rsidR="00000000" w:rsidDel="00000000" w:rsidP="00000000" w:rsidRDefault="00000000" w:rsidRPr="00000000" w14:paraId="000000F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Показатель расчетной единицы</w:t>
            </w:r>
          </w:p>
        </w:tc>
        <w:tc>
          <w:tcPr>
            <w:vAlign w:val="center"/>
          </w:tcPr>
          <w:p w:rsidR="00000000" w:rsidDel="00000000" w:rsidP="00000000" w:rsidRDefault="00000000" w:rsidRPr="00000000" w14:paraId="000000F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Норматив накопления, куб.м.</w:t>
            </w:r>
          </w:p>
        </w:tc>
        <w:tc>
          <w:tcPr>
            <w:vAlign w:val="center"/>
          </w:tcPr>
          <w:p w:rsidR="00000000" w:rsidDel="00000000" w:rsidP="00000000" w:rsidRDefault="00000000" w:rsidRPr="00000000" w14:paraId="000000F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Объем ТКО в год, куб.м.</w:t>
            </w:r>
          </w:p>
        </w:tc>
      </w:tr>
      <w:tr>
        <w:trPr>
          <w:trHeight w:val="200" w:hRule="atLeast"/>
        </w:trPr>
        <w:tc>
          <w:tcPr/>
          <w:p w:rsidR="00000000" w:rsidDel="00000000" w:rsidP="00000000" w:rsidRDefault="00000000" w:rsidRPr="00000000" w14:paraId="000000F3">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4">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5">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6">
            <w:pPr>
              <w:jc w:val="center"/>
              <w:rPr>
                <w:rFonts w:ascii="Times New Roman" w:cs="Times New Roman" w:eastAsia="Times New Roman" w:hAnsi="Times New Roman"/>
                <w:sz w:val="18"/>
                <w:szCs w:val="18"/>
              </w:rPr>
            </w:pPr>
            <w:r w:rsidDel="00000000" w:rsidR="00000000" w:rsidRPr="00000000">
              <w:rPr>
                <w:rtl w:val="0"/>
              </w:rPr>
            </w:r>
          </w:p>
        </w:tc>
      </w:tr>
      <w:tr>
        <w:trPr>
          <w:trHeight w:val="220" w:hRule="atLeast"/>
        </w:trPr>
        <w:tc>
          <w:tcPr/>
          <w:p w:rsidR="00000000" w:rsidDel="00000000" w:rsidP="00000000" w:rsidRDefault="00000000" w:rsidRPr="00000000" w14:paraId="000000F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Итого</w:t>
            </w:r>
          </w:p>
        </w:tc>
        <w:tc>
          <w:tcPr/>
          <w:p w:rsidR="00000000" w:rsidDel="00000000" w:rsidP="00000000" w:rsidRDefault="00000000" w:rsidRPr="00000000" w14:paraId="000000F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A">
            <w:pPr>
              <w:jc w:val="cente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F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3.Расчет стоимости услуг</w:t>
      </w:r>
    </w:p>
    <w:p w:rsidR="00000000" w:rsidDel="00000000" w:rsidP="00000000" w:rsidRDefault="00000000" w:rsidRPr="00000000" w14:paraId="000000FE">
      <w:pPr>
        <w:jc w:val="center"/>
        <w:rPr>
          <w:rFonts w:ascii="Times New Roman" w:cs="Times New Roman" w:eastAsia="Times New Roman" w:hAnsi="Times New Roman"/>
          <w:sz w:val="22"/>
          <w:szCs w:val="22"/>
        </w:rPr>
      </w:pPr>
      <w:r w:rsidDel="00000000" w:rsidR="00000000" w:rsidRPr="00000000">
        <w:rPr>
          <w:rtl w:val="0"/>
        </w:rPr>
      </w:r>
    </w:p>
    <w:tbl>
      <w:tblPr>
        <w:tblStyle w:val="Table4"/>
        <w:tblW w:w="9934.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1276"/>
        <w:gridCol w:w="1418"/>
        <w:gridCol w:w="2521"/>
        <w:gridCol w:w="2309"/>
        <w:tblGridChange w:id="0">
          <w:tblGrid>
            <w:gridCol w:w="2410"/>
            <w:gridCol w:w="1276"/>
            <w:gridCol w:w="1418"/>
            <w:gridCol w:w="2521"/>
            <w:gridCol w:w="2309"/>
          </w:tblGrid>
        </w:tblGridChange>
      </w:tblGrid>
      <w:tr>
        <w:tc>
          <w:tcPr>
            <w:vAlign w:val="center"/>
          </w:tcPr>
          <w:p w:rsidR="00000000" w:rsidDel="00000000" w:rsidP="00000000" w:rsidRDefault="00000000" w:rsidRPr="00000000" w14:paraId="000000F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Период действия тарифа</w:t>
            </w:r>
          </w:p>
        </w:tc>
        <w:tc>
          <w:tcPr>
            <w:vAlign w:val="center"/>
          </w:tcPr>
          <w:p w:rsidR="00000000" w:rsidDel="00000000" w:rsidP="00000000" w:rsidRDefault="00000000" w:rsidRPr="00000000" w14:paraId="0000010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Наименование</w:t>
            </w:r>
          </w:p>
        </w:tc>
        <w:tc>
          <w:tcPr>
            <w:vAlign w:val="center"/>
          </w:tcPr>
          <w:p w:rsidR="00000000" w:rsidDel="00000000" w:rsidP="00000000" w:rsidRDefault="00000000" w:rsidRPr="00000000" w14:paraId="0000010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Тариф руб/куб.м (без НДС)</w:t>
            </w:r>
          </w:p>
        </w:tc>
        <w:tc>
          <w:tcPr>
            <w:vAlign w:val="center"/>
          </w:tcPr>
          <w:p w:rsidR="00000000" w:rsidDel="00000000" w:rsidP="00000000" w:rsidRDefault="00000000" w:rsidRPr="00000000" w14:paraId="0000010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Стоимость услуг за период оказания услуг руб./куб.м. с учетом НДС</w:t>
            </w:r>
          </w:p>
        </w:tc>
        <w:tc>
          <w:tcPr>
            <w:vAlign w:val="center"/>
          </w:tcPr>
          <w:p w:rsidR="00000000" w:rsidDel="00000000" w:rsidP="00000000" w:rsidRDefault="00000000" w:rsidRPr="00000000" w14:paraId="0000010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Объем ТКО за период оказания услуг, куб.м.</w:t>
            </w:r>
          </w:p>
        </w:tc>
      </w:tr>
      <w:tr>
        <w:tc>
          <w:tcPr>
            <w:gridSpan w:val="5"/>
            <w:tcBorders>
              <w:bottom w:color="ffffff" w:space="0" w:sz="4" w:val="single"/>
            </w:tcBorders>
          </w:tcPr>
          <w:p w:rsidR="00000000" w:rsidDel="00000000" w:rsidP="00000000" w:rsidRDefault="00000000" w:rsidRPr="00000000" w14:paraId="00000104">
            <w:pPr>
              <w:jc w:val="center"/>
              <w:rPr>
                <w:rFonts w:ascii="Times New Roman" w:cs="Times New Roman" w:eastAsia="Times New Roman" w:hAnsi="Times New Roman"/>
                <w:sz w:val="18"/>
                <w:szCs w:val="18"/>
              </w:rPr>
            </w:pPr>
            <w:r w:rsidDel="00000000" w:rsidR="00000000" w:rsidRPr="00000000">
              <w:rPr>
                <w:rtl w:val="0"/>
              </w:rPr>
            </w:r>
          </w:p>
        </w:tc>
      </w:tr>
      <w:tr>
        <w:tc>
          <w:tcPr>
            <w:tcBorders>
              <w:top w:color="ffffff" w:space="0" w:sz="4" w:val="single"/>
              <w:bottom w:color="ffffff" w:space="0" w:sz="4" w:val="single"/>
              <w:right w:color="ffffff" w:space="0" w:sz="4" w:val="single"/>
            </w:tcBorders>
          </w:tcPr>
          <w:p w:rsidR="00000000" w:rsidDel="00000000" w:rsidP="00000000" w:rsidRDefault="00000000" w:rsidRPr="00000000" w14:paraId="0000010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01.01.2019 по 30.06.2019</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0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Услуга по обращению с ТКО</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0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435.74</w:t>
            </w:r>
          </w:p>
          <w:p w:rsidR="00000000" w:rsidDel="00000000" w:rsidP="00000000" w:rsidRDefault="00000000" w:rsidRPr="00000000" w14:paraId="0000010C">
            <w:pPr>
              <w:tabs>
                <w:tab w:val="left" w:pos="608"/>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0D">
            <w:pPr>
              <w:jc w:val="center"/>
              <w:rPr>
                <w:rFonts w:ascii="Times New Roman" w:cs="Times New Roman" w:eastAsia="Times New Roman" w:hAnsi="Times New Roman"/>
                <w:sz w:val="18"/>
                <w:szCs w:val="18"/>
              </w:rPr>
            </w:pPr>
            <w:r w:rsidDel="00000000" w:rsidR="00000000" w:rsidRPr="00000000">
              <w:rPr>
                <w:rtl w:val="0"/>
              </w:rPr>
            </w:r>
          </w:p>
        </w:tc>
        <w:tc>
          <w:tcPr>
            <w:tcBorders>
              <w:top w:color="ffffff" w:space="0" w:sz="4" w:val="single"/>
              <w:left w:color="ffffff" w:space="0" w:sz="4" w:val="single"/>
              <w:bottom w:color="ffffff" w:space="0" w:sz="4" w:val="single"/>
            </w:tcBorders>
          </w:tcPr>
          <w:p w:rsidR="00000000" w:rsidDel="00000000" w:rsidP="00000000" w:rsidRDefault="00000000" w:rsidRPr="00000000" w14:paraId="0000010E">
            <w:pPr>
              <w:jc w:val="center"/>
              <w:rPr>
                <w:rFonts w:ascii="Times New Roman" w:cs="Times New Roman" w:eastAsia="Times New Roman" w:hAnsi="Times New Roman"/>
                <w:sz w:val="18"/>
                <w:szCs w:val="18"/>
              </w:rPr>
            </w:pPr>
            <w:r w:rsidDel="00000000" w:rsidR="00000000" w:rsidRPr="00000000">
              <w:rPr>
                <w:rtl w:val="0"/>
              </w:rPr>
            </w:r>
          </w:p>
        </w:tc>
      </w:tr>
      <w:tr>
        <w:tc>
          <w:tcPr>
            <w:gridSpan w:val="5"/>
            <w:tcBorders>
              <w:top w:color="ffffff" w:space="0" w:sz="4" w:val="single"/>
            </w:tcBorders>
          </w:tcPr>
          <w:p w:rsidR="00000000" w:rsidDel="00000000" w:rsidP="00000000" w:rsidRDefault="00000000" w:rsidRPr="00000000" w14:paraId="0000010F">
            <w:pPr>
              <w:jc w:val="center"/>
              <w:rPr>
                <w:rFonts w:ascii="Times New Roman" w:cs="Times New Roman" w:eastAsia="Times New Roman" w:hAnsi="Times New Roman"/>
                <w:sz w:val="18"/>
                <w:szCs w:val="18"/>
              </w:rPr>
            </w:pPr>
            <w:r w:rsidDel="00000000" w:rsidR="00000000" w:rsidRPr="00000000">
              <w:rPr>
                <w:rtl w:val="0"/>
              </w:rPr>
            </w:r>
          </w:p>
        </w:tc>
      </w:tr>
      <w:tr>
        <w:tc>
          <w:tcPr>
            <w:tcBorders>
              <w:top w:color="ffffff" w:space="0" w:sz="4" w:val="single"/>
              <w:bottom w:color="ffffff" w:space="0" w:sz="4" w:val="single"/>
              <w:right w:color="ffffff" w:space="0" w:sz="4" w:val="single"/>
            </w:tcBorders>
          </w:tcPr>
          <w:p w:rsidR="00000000" w:rsidDel="00000000" w:rsidP="00000000" w:rsidRDefault="00000000" w:rsidRPr="00000000" w14:paraId="0000011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01.07.2019 по 31.12.2019</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1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Услуга по обращению с ТКО</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1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495.44</w:t>
            </w:r>
          </w:p>
          <w:p w:rsidR="00000000" w:rsidDel="00000000" w:rsidP="00000000" w:rsidRDefault="00000000" w:rsidRPr="00000000" w14:paraId="00000117">
            <w:pPr>
              <w:tabs>
                <w:tab w:val="left" w:pos="608"/>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18">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19">
            <w:pPr>
              <w:jc w:val="center"/>
              <w:rPr>
                <w:rFonts w:ascii="Times New Roman" w:cs="Times New Roman" w:eastAsia="Times New Roman" w:hAnsi="Times New Roman"/>
                <w:sz w:val="18"/>
                <w:szCs w:val="18"/>
              </w:rPr>
            </w:pPr>
            <w:r w:rsidDel="00000000" w:rsidR="00000000" w:rsidRPr="00000000">
              <w:rPr>
                <w:rtl w:val="0"/>
              </w:rPr>
            </w:r>
          </w:p>
        </w:tc>
        <w:tc>
          <w:tcPr>
            <w:tcBorders>
              <w:top w:color="ffffff" w:space="0" w:sz="4" w:val="single"/>
              <w:left w:color="ffffff" w:space="0" w:sz="4" w:val="single"/>
              <w:bottom w:color="ffffff" w:space="0" w:sz="4" w:val="single"/>
            </w:tcBorders>
          </w:tcPr>
          <w:p w:rsidR="00000000" w:rsidDel="00000000" w:rsidP="00000000" w:rsidRDefault="00000000" w:rsidRPr="00000000" w14:paraId="0000011A">
            <w:pPr>
              <w:jc w:val="center"/>
              <w:rPr>
                <w:rFonts w:ascii="Times New Roman" w:cs="Times New Roman" w:eastAsia="Times New Roman" w:hAnsi="Times New Roman"/>
                <w:sz w:val="18"/>
                <w:szCs w:val="18"/>
              </w:rPr>
            </w:pPr>
            <w:r w:rsidDel="00000000" w:rsidR="00000000" w:rsidRPr="00000000">
              <w:rPr>
                <w:rtl w:val="0"/>
              </w:rPr>
            </w:r>
          </w:p>
        </w:tc>
      </w:tr>
      <w:tr>
        <w:tc>
          <w:tcPr>
            <w:gridSpan w:val="5"/>
            <w:tcBorders>
              <w:top w:color="ffffff" w:space="0" w:sz="4" w:val="single"/>
            </w:tcBorders>
          </w:tcPr>
          <w:p w:rsidR="00000000" w:rsidDel="00000000" w:rsidP="00000000" w:rsidRDefault="00000000" w:rsidRPr="00000000" w14:paraId="0000011B">
            <w:pPr>
              <w:jc w:val="center"/>
              <w:rPr>
                <w:rFonts w:ascii="Times New Roman" w:cs="Times New Roman" w:eastAsia="Times New Roman" w:hAnsi="Times New Roman"/>
                <w:sz w:val="18"/>
                <w:szCs w:val="18"/>
              </w:rPr>
            </w:pPr>
            <w:r w:rsidDel="00000000" w:rsidR="00000000" w:rsidRPr="00000000">
              <w:rPr>
                <w:rtl w:val="0"/>
              </w:rPr>
            </w:r>
          </w:p>
        </w:tc>
      </w:tr>
      <w:tr>
        <w:trPr>
          <w:trHeight w:val="260" w:hRule="atLeast"/>
        </w:trPr>
        <w:tc>
          <w:tcPr/>
          <w:p w:rsidR="00000000" w:rsidDel="00000000" w:rsidP="00000000" w:rsidRDefault="00000000" w:rsidRPr="00000000" w14:paraId="0000012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Объем ТКО, куб.м. в год</w:t>
            </w:r>
          </w:p>
        </w:tc>
        <w:tc>
          <w:tcPr>
            <w:gridSpan w:val="4"/>
          </w:tcPr>
          <w:p w:rsidR="00000000" w:rsidDel="00000000" w:rsidP="00000000" w:rsidRDefault="00000000" w:rsidRPr="00000000" w14:paraId="00000121">
            <w:pPr>
              <w:jc w:val="center"/>
              <w:rPr>
                <w:rFonts w:ascii="Times New Roman" w:cs="Times New Roman" w:eastAsia="Times New Roman" w:hAnsi="Times New Roman"/>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12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Объем ТКО, куб.м. в месяц</w:t>
            </w:r>
          </w:p>
        </w:tc>
        <w:tc>
          <w:tcPr>
            <w:gridSpan w:val="4"/>
          </w:tcPr>
          <w:p w:rsidR="00000000" w:rsidDel="00000000" w:rsidP="00000000" w:rsidRDefault="00000000" w:rsidRPr="00000000" w14:paraId="00000126">
            <w:pPr>
              <w:jc w:val="center"/>
              <w:rPr>
                <w:rFonts w:ascii="Times New Roman" w:cs="Times New Roman" w:eastAsia="Times New Roman" w:hAnsi="Times New Roman"/>
                <w:sz w:val="18"/>
                <w:szCs w:val="18"/>
              </w:rPr>
            </w:pPr>
            <w:r w:rsidDel="00000000" w:rsidR="00000000" w:rsidRPr="00000000">
              <w:rPr>
                <w:rtl w:val="0"/>
              </w:rPr>
            </w:r>
          </w:p>
        </w:tc>
      </w:tr>
      <w:tr>
        <w:tc>
          <w:tcPr/>
          <w:p w:rsidR="00000000" w:rsidDel="00000000" w:rsidP="00000000" w:rsidRDefault="00000000" w:rsidRPr="00000000" w14:paraId="0000012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Стоимость услуг в год, руб./куб.м. с учетом НДС</w:t>
            </w:r>
          </w:p>
        </w:tc>
        <w:tc>
          <w:tcPr>
            <w:gridSpan w:val="4"/>
          </w:tcPr>
          <w:p w:rsidR="00000000" w:rsidDel="00000000" w:rsidP="00000000" w:rsidRDefault="00000000" w:rsidRPr="00000000" w14:paraId="0000012B">
            <w:pPr>
              <w:jc w:val="center"/>
              <w:rPr>
                <w:rFonts w:ascii="Times New Roman" w:cs="Times New Roman" w:eastAsia="Times New Roman" w:hAnsi="Times New Roman"/>
                <w:sz w:val="18"/>
                <w:szCs w:val="18"/>
              </w:rPr>
            </w:pPr>
            <w:r w:rsidDel="00000000" w:rsidR="00000000" w:rsidRPr="00000000">
              <w:rPr>
                <w:rtl w:val="0"/>
              </w:rPr>
            </w:r>
          </w:p>
        </w:tc>
      </w:tr>
      <w:tr>
        <w:trPr>
          <w:trHeight w:val="300" w:hRule="atLeast"/>
        </w:trPr>
        <w:tc>
          <w:tcPr/>
          <w:p w:rsidR="00000000" w:rsidDel="00000000" w:rsidP="00000000" w:rsidRDefault="00000000" w:rsidRPr="00000000" w14:paraId="0000012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Стоимость услуг в месяц, руб./куб.м. с учетом НДС</w:t>
            </w:r>
          </w:p>
        </w:tc>
        <w:tc>
          <w:tcPr>
            <w:gridSpan w:val="4"/>
          </w:tcPr>
          <w:p w:rsidR="00000000" w:rsidDel="00000000" w:rsidP="00000000" w:rsidRDefault="00000000" w:rsidRPr="00000000" w14:paraId="00000130">
            <w:pPr>
              <w:jc w:val="cente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3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Генеральный директор</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«РТ-НЭО Иркутск»</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 / С.А. Сидоров /                                    _______________________ /___________/</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м.п                                                                                                               м.п.</w:t>
      </w:r>
    </w:p>
    <w:p w:rsidR="00000000" w:rsidDel="00000000" w:rsidP="00000000" w:rsidRDefault="00000000" w:rsidRPr="00000000" w14:paraId="0000013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sectPr>
      <w:headerReference r:id="rId9" w:type="default"/>
      <w:headerReference r:id="rId10" w:type="first"/>
      <w:pgSz w:h="16838" w:w="11906"/>
      <w:pgMar w:bottom="426" w:top="568" w:left="1701" w:right="568.204724409450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