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DF" w:rsidRDefault="00DA65DF" w:rsidP="00B75E7D">
      <w:pPr>
        <w:ind w:left="709" w:right="709"/>
        <w:jc w:val="center"/>
        <w:rPr>
          <w:sz w:val="28"/>
          <w:szCs w:val="28"/>
        </w:rPr>
      </w:pPr>
    </w:p>
    <w:p w:rsidR="00DA65DF" w:rsidRDefault="00DA65DF" w:rsidP="00B75E7D">
      <w:pPr>
        <w:ind w:left="709" w:right="709"/>
        <w:jc w:val="center"/>
        <w:rPr>
          <w:sz w:val="28"/>
          <w:szCs w:val="28"/>
        </w:rPr>
      </w:pPr>
    </w:p>
    <w:p w:rsidR="00DA65DF" w:rsidRDefault="00DA65DF" w:rsidP="00B75E7D">
      <w:pPr>
        <w:ind w:left="709" w:right="709"/>
        <w:jc w:val="center"/>
        <w:rPr>
          <w:sz w:val="28"/>
          <w:szCs w:val="28"/>
        </w:rPr>
      </w:pPr>
    </w:p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-656590</wp:posOffset>
            </wp:positionV>
            <wp:extent cx="650875" cy="746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7D" w:rsidRPr="00992586" w:rsidRDefault="00B75E7D" w:rsidP="00BF2824">
      <w:pPr>
        <w:shd w:val="clear" w:color="auto" w:fill="FFFFFF"/>
        <w:tabs>
          <w:tab w:val="left" w:pos="8035"/>
        </w:tabs>
        <w:suppressAutoHyphens/>
        <w:autoSpaceDN/>
        <w:adjustRightInd/>
        <w:spacing w:line="276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F282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F282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4C4E66">
        <w:rPr>
          <w:sz w:val="24"/>
          <w:szCs w:val="24"/>
          <w:lang w:eastAsia="ar-SA"/>
        </w:rPr>
        <w:t>28</w:t>
      </w:r>
      <w:r w:rsidRPr="00992586">
        <w:rPr>
          <w:sz w:val="24"/>
          <w:szCs w:val="24"/>
          <w:lang w:eastAsia="ar-SA"/>
        </w:rPr>
        <w:t>»</w:t>
      </w:r>
      <w:r w:rsidR="004C4E66">
        <w:rPr>
          <w:sz w:val="24"/>
          <w:szCs w:val="24"/>
          <w:lang w:eastAsia="ar-SA"/>
        </w:rPr>
        <w:t xml:space="preserve"> ноября </w:t>
      </w:r>
      <w:r w:rsidRPr="00992586">
        <w:rPr>
          <w:sz w:val="24"/>
          <w:szCs w:val="24"/>
          <w:lang w:eastAsia="ar-SA"/>
        </w:rPr>
        <w:t>20</w:t>
      </w:r>
      <w:r w:rsidR="004C4E66">
        <w:rPr>
          <w:sz w:val="24"/>
          <w:szCs w:val="24"/>
          <w:lang w:eastAsia="ar-SA"/>
        </w:rPr>
        <w:t>18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824350">
        <w:rPr>
          <w:sz w:val="24"/>
          <w:szCs w:val="24"/>
          <w:lang w:eastAsia="ar-SA"/>
        </w:rPr>
        <w:t xml:space="preserve">                          </w:t>
      </w:r>
      <w:r w:rsidR="004C4E66">
        <w:rPr>
          <w:sz w:val="24"/>
          <w:szCs w:val="24"/>
          <w:lang w:eastAsia="ar-SA"/>
        </w:rPr>
        <w:t xml:space="preserve">                                       </w:t>
      </w:r>
      <w:r w:rsidRPr="00992586">
        <w:rPr>
          <w:sz w:val="24"/>
          <w:szCs w:val="24"/>
          <w:lang w:eastAsia="ar-SA"/>
        </w:rPr>
        <w:t>№</w:t>
      </w:r>
      <w:r w:rsidR="004C4E66">
        <w:rPr>
          <w:sz w:val="24"/>
          <w:szCs w:val="24"/>
          <w:lang w:eastAsia="ar-SA"/>
        </w:rPr>
        <w:t xml:space="preserve"> 140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153A94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(</w:t>
      </w:r>
      <w:r w:rsidR="008271E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одной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) единиц</w:t>
      </w:r>
      <w:r w:rsidR="008271E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ы</w:t>
      </w:r>
    </w:p>
    <w:bookmarkEnd w:id="0"/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962C1" w:rsidRDefault="00B962C1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</w:t>
      </w:r>
      <w:proofErr w:type="gramStart"/>
      <w:r>
        <w:rPr>
          <w:sz w:val="28"/>
          <w:szCs w:val="28"/>
        </w:rPr>
        <w:t>«О приватизации государственного и муниципального имущества»,</w:t>
      </w:r>
      <w:r w:rsidR="00824350">
        <w:rPr>
          <w:sz w:val="28"/>
          <w:szCs w:val="28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24.09.2015 </w:t>
      </w:r>
      <w:r w:rsidR="008243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14-107/</w:t>
      </w:r>
      <w:proofErr w:type="spellStart"/>
      <w:r>
        <w:rPr>
          <w:sz w:val="28"/>
          <w:szCs w:val="28"/>
        </w:rPr>
        <w:t>рд</w:t>
      </w:r>
      <w:proofErr w:type="spellEnd"/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 w:rsidR="00824350"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 w:rsidR="008243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«Об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75E7D" w:rsidRPr="001D4A95" w:rsidRDefault="00B75E7D" w:rsidP="00824350">
      <w:pPr>
        <w:suppressAutoHyphens/>
        <w:ind w:firstLine="709"/>
        <w:jc w:val="both"/>
        <w:rPr>
          <w:sz w:val="28"/>
          <w:szCs w:val="28"/>
        </w:rPr>
      </w:pP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153A9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0C7D9F">
        <w:rPr>
          <w:sz w:val="28"/>
          <w:szCs w:val="28"/>
        </w:rPr>
        <w:t>одной</w:t>
      </w:r>
      <w:r>
        <w:rPr>
          <w:sz w:val="28"/>
          <w:szCs w:val="28"/>
        </w:rPr>
        <w:t>)</w:t>
      </w:r>
      <w:r w:rsidR="00824350">
        <w:rPr>
          <w:sz w:val="28"/>
          <w:szCs w:val="28"/>
        </w:rPr>
        <w:t xml:space="preserve"> </w:t>
      </w:r>
      <w:r w:rsidR="00F91C04">
        <w:rPr>
          <w:sz w:val="28"/>
          <w:szCs w:val="28"/>
        </w:rPr>
        <w:t>единиц</w:t>
      </w:r>
      <w:r w:rsidR="000C7D9F">
        <w:rPr>
          <w:sz w:val="28"/>
          <w:szCs w:val="28"/>
        </w:rPr>
        <w:t xml:space="preserve">ы </w:t>
      </w:r>
      <w:r>
        <w:rPr>
          <w:sz w:val="28"/>
          <w:szCs w:val="28"/>
        </w:rPr>
        <w:t>(прилагается)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824350">
      <w:pPr>
        <w:suppressAutoHyphens/>
        <w:ind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</w:t>
      </w:r>
      <w:r w:rsidRPr="000C7D9F">
        <w:rPr>
          <w:sz w:val="28"/>
          <w:szCs w:val="28"/>
        </w:rPr>
        <w:t xml:space="preserve">», разместить в информационно-телекоммуникационнойсети «Интернет» на официальном сайте Иркутского районного муниципального образования </w:t>
      </w:r>
      <w:hyperlink r:id="rId10" w:history="1"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C7D9F">
          <w:rPr>
            <w:rStyle w:val="a5"/>
            <w:color w:val="auto"/>
            <w:sz w:val="28"/>
            <w:szCs w:val="28"/>
            <w:u w:val="none"/>
          </w:rPr>
          <w:t>.</w:t>
        </w:r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irkraion</w:t>
        </w:r>
        <w:r w:rsidRPr="000C7D9F">
          <w:rPr>
            <w:rStyle w:val="a5"/>
            <w:color w:val="auto"/>
            <w:sz w:val="28"/>
            <w:szCs w:val="28"/>
            <w:u w:val="none"/>
          </w:rPr>
          <w:t>.</w:t>
        </w:r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0C7D9F">
        <w:rPr>
          <w:sz w:val="28"/>
          <w:szCs w:val="28"/>
        </w:rPr>
        <w:t xml:space="preserve">, а также на </w:t>
      </w:r>
      <w:hyperlink r:id="rId11" w:history="1">
        <w:r w:rsidRPr="000C7D9F">
          <w:rPr>
            <w:sz w:val="28"/>
            <w:szCs w:val="28"/>
          </w:rPr>
          <w:t>официальном сайте</w:t>
        </w:r>
      </w:hyperlink>
      <w:r w:rsidRPr="000C7D9F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C7D9F">
          <w:rPr>
            <w:rStyle w:val="a5"/>
            <w:color w:val="auto"/>
            <w:sz w:val="28"/>
            <w:szCs w:val="28"/>
            <w:u w:val="none"/>
          </w:rPr>
          <w:t>.</w:t>
        </w:r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torgi</w:t>
        </w:r>
        <w:r w:rsidRPr="000C7D9F">
          <w:rPr>
            <w:rStyle w:val="a5"/>
            <w:color w:val="auto"/>
            <w:sz w:val="28"/>
            <w:szCs w:val="28"/>
            <w:u w:val="none"/>
          </w:rPr>
          <w:t>.</w:t>
        </w:r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Pr="000C7D9F">
          <w:rPr>
            <w:rStyle w:val="a5"/>
            <w:color w:val="auto"/>
            <w:sz w:val="28"/>
            <w:szCs w:val="28"/>
            <w:u w:val="none"/>
          </w:rPr>
          <w:t>.</w:t>
        </w:r>
        <w:r w:rsidRPr="000C7D9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0C7D9F">
        <w:rPr>
          <w:sz w:val="28"/>
          <w:szCs w:val="28"/>
        </w:rPr>
        <w:t>.</w:t>
      </w:r>
    </w:p>
    <w:p w:rsidR="00B75E7D" w:rsidRPr="003F2BB4" w:rsidRDefault="00B75E7D" w:rsidP="0082435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B962C1">
      <w:pPr>
        <w:shd w:val="clear" w:color="auto" w:fill="FFFFFF"/>
        <w:ind w:left="142" w:right="-1"/>
        <w:jc w:val="both"/>
        <w:rPr>
          <w:color w:val="000000"/>
          <w:sz w:val="28"/>
          <w:szCs w:val="28"/>
        </w:rPr>
      </w:pPr>
    </w:p>
    <w:p w:rsidR="00B75E7D" w:rsidRDefault="000C7D9F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Исполняющий обязанности М</w:t>
      </w:r>
      <w:r w:rsidR="00B75E7D" w:rsidRPr="00B6311F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  <w:r w:rsidR="00824350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EA59A4">
        <w:rPr>
          <w:color w:val="000000"/>
          <w:sz w:val="28"/>
          <w:szCs w:val="28"/>
        </w:rPr>
        <w:t>П</w:t>
      </w:r>
      <w:r w:rsidR="00B75E7D" w:rsidRPr="00B631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Н.</w:t>
      </w:r>
      <w:r w:rsidR="00B75E7D" w:rsidRPr="00B63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Новосельцев</w:t>
      </w:r>
    </w:p>
    <w:p w:rsidR="00FD30A6" w:rsidRDefault="00FD30A6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D30A6" w:rsidRDefault="00FD30A6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FD30A6" w:rsidRPr="00B6311F" w:rsidTr="00CE5114">
        <w:trPr>
          <w:trHeight w:val="1135"/>
        </w:trPr>
        <w:tc>
          <w:tcPr>
            <w:tcW w:w="5070" w:type="dxa"/>
          </w:tcPr>
          <w:p w:rsidR="00FD30A6" w:rsidRPr="00B6311F" w:rsidRDefault="00FD30A6" w:rsidP="00CE5114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0A6" w:rsidRDefault="00FD30A6" w:rsidP="00CE5114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FD30A6" w:rsidRPr="00EB6776" w:rsidRDefault="00FD30A6" w:rsidP="00CE5114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</w:p>
          <w:p w:rsidR="00FD30A6" w:rsidRDefault="00FD30A6" w:rsidP="00CE5114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FD30A6" w:rsidRPr="00EB6776" w:rsidRDefault="00FD30A6" w:rsidP="004C4E6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C4E6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4C4E66" w:rsidRPr="004C4E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28.11.2018 </w:t>
            </w:r>
            <w:r w:rsidRPr="004C4E6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C4E66">
              <w:rPr>
                <w:rFonts w:ascii="Times New Roman" w:hAnsi="Times New Roman"/>
                <w:b w:val="0"/>
                <w:sz w:val="28"/>
                <w:szCs w:val="28"/>
              </w:rPr>
              <w:t xml:space="preserve"> 140</w:t>
            </w:r>
          </w:p>
        </w:tc>
      </w:tr>
    </w:tbl>
    <w:p w:rsidR="00FD30A6" w:rsidRDefault="00FD30A6" w:rsidP="00FD30A6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D30A6" w:rsidRDefault="00FD30A6" w:rsidP="00FD30A6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3CA8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 в количестве </w:t>
      </w:r>
    </w:p>
    <w:p w:rsidR="00FD30A6" w:rsidRDefault="00FD30A6" w:rsidP="00FD30A6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3CA8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BC3C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A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D30A6" w:rsidRPr="00BC3CA8" w:rsidRDefault="00FD30A6" w:rsidP="00FD30A6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D30A6" w:rsidRPr="00373514" w:rsidRDefault="00FD30A6" w:rsidP="00FD30A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0A6" w:rsidRPr="00373514" w:rsidRDefault="00FD30A6" w:rsidP="00FD30A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FD30A6" w:rsidRDefault="00FD30A6" w:rsidP="00FD30A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FD30A6" w:rsidRPr="00B464DD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FD30A6" w:rsidRPr="000A2959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  <w:r>
        <w:rPr>
          <w:color w:val="000000"/>
          <w:sz w:val="28"/>
          <w:szCs w:val="28"/>
        </w:rPr>
        <w:t xml:space="preserve">, </w:t>
      </w: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           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FD30A6" w:rsidRPr="000A2959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22200</w:t>
      </w:r>
      <w:r w:rsidRPr="000A2959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0A2959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8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19.10</w:t>
      </w:r>
      <w:r w:rsidRPr="000A2959">
        <w:rPr>
          <w:color w:val="000000"/>
          <w:sz w:val="28"/>
          <w:szCs w:val="28"/>
        </w:rPr>
        <w:t>.2018.</w:t>
      </w:r>
    </w:p>
    <w:p w:rsidR="00FD30A6" w:rsidRPr="000737F3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Начальная цена продажи – 22200 (двадцать две тысячи двести) рублей.</w:t>
      </w:r>
    </w:p>
    <w:p w:rsidR="00FD30A6" w:rsidRPr="000737F3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0737F3">
        <w:rPr>
          <w:color w:val="000000"/>
          <w:sz w:val="28"/>
          <w:szCs w:val="28"/>
        </w:rPr>
        <w:t>% от начальной стоимости имущества – 11</w:t>
      </w:r>
      <w:r>
        <w:rPr>
          <w:color w:val="000000"/>
          <w:sz w:val="28"/>
          <w:szCs w:val="28"/>
        </w:rPr>
        <w:t>1</w:t>
      </w:r>
      <w:r w:rsidRPr="000737F3">
        <w:rPr>
          <w:color w:val="000000"/>
          <w:sz w:val="28"/>
          <w:szCs w:val="28"/>
        </w:rPr>
        <w:t>0 (одна тысяча сто</w:t>
      </w:r>
      <w:r>
        <w:rPr>
          <w:color w:val="000000"/>
          <w:sz w:val="28"/>
          <w:szCs w:val="28"/>
        </w:rPr>
        <w:t xml:space="preserve"> десять</w:t>
      </w:r>
      <w:r w:rsidRPr="000737F3">
        <w:rPr>
          <w:color w:val="000000"/>
          <w:sz w:val="28"/>
          <w:szCs w:val="28"/>
        </w:rPr>
        <w:t>) рублей.</w:t>
      </w:r>
    </w:p>
    <w:p w:rsidR="00FD30A6" w:rsidRPr="000737F3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Задаток вносится в валюте Российской Федерации в размере 20 % от начальной стоимости имущества – 44</w:t>
      </w:r>
      <w:r>
        <w:rPr>
          <w:color w:val="000000"/>
          <w:sz w:val="28"/>
          <w:szCs w:val="28"/>
        </w:rPr>
        <w:t>4</w:t>
      </w:r>
      <w:r w:rsidRPr="000737F3">
        <w:rPr>
          <w:color w:val="000000"/>
          <w:sz w:val="28"/>
          <w:szCs w:val="28"/>
        </w:rPr>
        <w:t>0 (четыре тысячи четыреста</w:t>
      </w:r>
      <w:r>
        <w:rPr>
          <w:color w:val="000000"/>
          <w:sz w:val="28"/>
          <w:szCs w:val="28"/>
        </w:rPr>
        <w:t xml:space="preserve"> сорок</w:t>
      </w:r>
      <w:r w:rsidRPr="000737F3">
        <w:rPr>
          <w:color w:val="000000"/>
          <w:sz w:val="28"/>
          <w:szCs w:val="28"/>
        </w:rPr>
        <w:t>) рублей на счет Продавца.</w:t>
      </w:r>
    </w:p>
    <w:p w:rsidR="00FD30A6" w:rsidRPr="000A2959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D30A6" w:rsidRPr="000A2959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</w:t>
      </w:r>
      <w:r>
        <w:rPr>
          <w:bCs/>
          <w:color w:val="000000"/>
          <w:sz w:val="28"/>
          <w:szCs w:val="28"/>
        </w:rPr>
        <w:t>, 21.11.2018</w:t>
      </w:r>
      <w:r w:rsidRPr="00750D3C">
        <w:rPr>
          <w:bCs/>
          <w:color w:val="000000"/>
          <w:sz w:val="28"/>
          <w:szCs w:val="28"/>
        </w:rPr>
        <w:t xml:space="preserve"> аукционы признаны несостоявшимся</w:t>
      </w:r>
      <w:r w:rsidRPr="000A2959">
        <w:rPr>
          <w:color w:val="000000"/>
          <w:sz w:val="28"/>
          <w:szCs w:val="28"/>
        </w:rPr>
        <w:t>.</w:t>
      </w:r>
    </w:p>
    <w:p w:rsidR="00FD30A6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lastRenderedPageBreak/>
        <w:t>I. Общие положения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30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24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FD30A6" w:rsidRPr="00373514" w:rsidRDefault="00FD30A6" w:rsidP="00FD30A6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FD30A6" w:rsidRPr="009D0D56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1" w:name="OLE_LINK1"/>
      <w:bookmarkStart w:id="2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25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1"/>
    <w:bookmarkEnd w:id="2"/>
    <w:p w:rsidR="00FD30A6" w:rsidRPr="009D0D56" w:rsidRDefault="00FD30A6" w:rsidP="00FD30A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>
        <w:rPr>
          <w:bCs/>
          <w:sz w:val="28"/>
          <w:szCs w:val="28"/>
        </w:rPr>
        <w:t>26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12.2018 в 10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26</w:t>
      </w:r>
      <w:r>
        <w:rPr>
          <w:bCs/>
          <w:sz w:val="28"/>
          <w:szCs w:val="28"/>
        </w:rPr>
        <w:t>.12</w:t>
      </w:r>
      <w:r w:rsidRPr="009D0D56">
        <w:rPr>
          <w:bCs/>
          <w:sz w:val="28"/>
          <w:szCs w:val="28"/>
        </w:rPr>
        <w:t>.2018 в 1</w:t>
      </w:r>
      <w:r>
        <w:rPr>
          <w:bCs/>
          <w:sz w:val="28"/>
          <w:szCs w:val="28"/>
        </w:rPr>
        <w:t>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D30A6" w:rsidRPr="00373514" w:rsidRDefault="00FD30A6" w:rsidP="00FD30A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FD30A6" w:rsidRPr="00373514" w:rsidRDefault="00FD30A6" w:rsidP="00FD30A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</w:t>
      </w:r>
      <w:r w:rsidR="00E753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(одной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ы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FD30A6" w:rsidRPr="00373514" w:rsidRDefault="00FD30A6" w:rsidP="00FD30A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FD30A6" w:rsidRPr="00373514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FD30A6" w:rsidRPr="00373514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D30A6" w:rsidRPr="00373514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FD30A6" w:rsidRPr="00373514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FD30A6" w:rsidRPr="00373514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>
        <w:rPr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25.12</w:t>
      </w:r>
      <w:r w:rsidRPr="009D0D56">
        <w:rPr>
          <w:bCs/>
          <w:sz w:val="28"/>
          <w:szCs w:val="28"/>
        </w:rPr>
        <w:t>.2018.</w:t>
      </w:r>
    </w:p>
    <w:p w:rsidR="00FD30A6" w:rsidRPr="00373514" w:rsidRDefault="00FD30A6" w:rsidP="00FD30A6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</w:t>
      </w:r>
      <w:r w:rsidRPr="00750BD9">
        <w:rPr>
          <w:bCs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FD30A6" w:rsidRPr="00373514" w:rsidRDefault="00FD30A6" w:rsidP="00FD30A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FD30A6" w:rsidRPr="00373514" w:rsidRDefault="00FD30A6" w:rsidP="00FD30A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FD30A6" w:rsidRPr="00373514" w:rsidRDefault="00FD30A6" w:rsidP="00FD30A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D30A6" w:rsidRPr="00373514" w:rsidRDefault="00FD30A6" w:rsidP="00FD30A6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4. Перечень требуемых для участия в аукционе документов и </w:t>
      </w:r>
      <w:r w:rsidRPr="00373514">
        <w:rPr>
          <w:b/>
          <w:bCs/>
          <w:sz w:val="28"/>
          <w:szCs w:val="28"/>
        </w:rPr>
        <w:lastRenderedPageBreak/>
        <w:t>требования к их оформлению: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В указанный в настоящем информационном сообщении день определения </w:t>
      </w:r>
      <w:r w:rsidRPr="00373514">
        <w:rPr>
          <w:bCs/>
          <w:sz w:val="28"/>
          <w:szCs w:val="28"/>
        </w:rPr>
        <w:lastRenderedPageBreak/>
        <w:t>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FD30A6" w:rsidRPr="00373514" w:rsidRDefault="00FD30A6" w:rsidP="00FD30A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FD30A6" w:rsidRPr="00373514" w:rsidRDefault="00FD30A6" w:rsidP="00FD30A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FD30A6" w:rsidRDefault="00FD30A6" w:rsidP="00FD30A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D30A6" w:rsidRPr="00E27BCB" w:rsidRDefault="00FD30A6" w:rsidP="00FD30A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D30A6" w:rsidRPr="00373514" w:rsidRDefault="00FD30A6" w:rsidP="00FD30A6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FD30A6" w:rsidRPr="00373514" w:rsidRDefault="00FD30A6" w:rsidP="00FD30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FD30A6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FD30A6" w:rsidRDefault="00FD30A6" w:rsidP="00FD30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>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3E713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FD30A6" w:rsidRDefault="00FD30A6" w:rsidP="00FD30A6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FD30A6" w:rsidRPr="00373514" w:rsidRDefault="00FD30A6" w:rsidP="00FD30A6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 xml:space="preserve">подлежат перечислению победителем аукциона в размере и сроки, </w:t>
      </w:r>
      <w:r w:rsidRPr="00043DE6">
        <w:rPr>
          <w:bCs/>
          <w:sz w:val="28"/>
          <w:szCs w:val="28"/>
        </w:rPr>
        <w:lastRenderedPageBreak/>
        <w:t>которые указаны в договоре купли-продажи, но не позднее 30</w:t>
      </w:r>
      <w:r>
        <w:rPr>
          <w:bCs/>
          <w:sz w:val="28"/>
          <w:szCs w:val="28"/>
        </w:rPr>
        <w:t xml:space="preserve"> (тридцати)</w:t>
      </w:r>
      <w:r w:rsidRPr="00043DE6">
        <w:rPr>
          <w:bCs/>
          <w:sz w:val="28"/>
          <w:szCs w:val="28"/>
        </w:rPr>
        <w:t xml:space="preserve"> рабочих дней со дня заключения договора купли-продажи</w:t>
      </w:r>
      <w:r w:rsidR="004C4E66"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FD30A6" w:rsidRPr="00D8110C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FD30A6" w:rsidRPr="00D8110C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FD30A6" w:rsidRPr="00D8110C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FD30A6" w:rsidRPr="00D8110C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FD30A6" w:rsidRPr="00D8110C" w:rsidRDefault="00FD30A6" w:rsidP="00FD30A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FD30A6" w:rsidRPr="00D8110C" w:rsidRDefault="00FD30A6" w:rsidP="00FD30A6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FD30A6" w:rsidRPr="00D8110C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FD30A6" w:rsidRPr="00373514" w:rsidRDefault="00FD30A6" w:rsidP="00FD30A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FD30A6" w:rsidRDefault="00FD30A6" w:rsidP="00FD30A6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D30A6" w:rsidRPr="00530D15" w:rsidRDefault="00FD30A6" w:rsidP="00FD30A6">
      <w:pPr>
        <w:suppressAutoHyphens/>
        <w:jc w:val="both"/>
        <w:rPr>
          <w:sz w:val="28"/>
          <w:szCs w:val="28"/>
        </w:rPr>
      </w:pPr>
    </w:p>
    <w:p w:rsidR="00FD30A6" w:rsidRPr="00530D15" w:rsidRDefault="00FD30A6" w:rsidP="00FD30A6">
      <w:pPr>
        <w:suppressAutoHyphens/>
        <w:jc w:val="both"/>
        <w:rPr>
          <w:sz w:val="28"/>
          <w:szCs w:val="28"/>
        </w:rPr>
      </w:pPr>
    </w:p>
    <w:p w:rsidR="00FD30A6" w:rsidRPr="00373514" w:rsidRDefault="00FD30A6" w:rsidP="00FD30A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Мэра                                                                           К</w:t>
      </w:r>
      <w:r w:rsidRPr="00530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Pr="00530D1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Барановский</w:t>
      </w: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</w:p>
    <w:p w:rsidR="00FD30A6" w:rsidRPr="00814DA1" w:rsidRDefault="00FD30A6" w:rsidP="00FD30A6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:rsidR="00FD30A6" w:rsidRPr="00814DA1" w:rsidRDefault="00FD30A6" w:rsidP="00FD30A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</w:p>
    <w:p w:rsidR="00FD30A6" w:rsidRPr="00814DA1" w:rsidRDefault="00FD30A6" w:rsidP="00FD30A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</w:t>
      </w:r>
      <w:r w:rsidRPr="00702490">
        <w:rPr>
          <w:sz w:val="28"/>
          <w:szCs w:val="28"/>
        </w:rPr>
        <w:t xml:space="preserve">в количестве </w:t>
      </w:r>
      <w:r w:rsidRPr="00A44FB0">
        <w:rPr>
          <w:sz w:val="28"/>
          <w:szCs w:val="28"/>
        </w:rPr>
        <w:t>1</w:t>
      </w:r>
      <w:r>
        <w:rPr>
          <w:sz w:val="28"/>
          <w:szCs w:val="28"/>
        </w:rPr>
        <w:t xml:space="preserve"> (од</w:t>
      </w:r>
      <w:r w:rsidRPr="00A44FB0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lastRenderedPageBreak/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Иркутского районного </w:t>
      </w:r>
      <w:r w:rsidR="004C4E6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</w:p>
    <w:p w:rsidR="00FD30A6" w:rsidRPr="004C4E66" w:rsidRDefault="00FD30A6" w:rsidP="00FD30A6">
      <w:pPr>
        <w:shd w:val="clear" w:color="auto" w:fill="FFFFFF"/>
        <w:tabs>
          <w:tab w:val="left" w:pos="941"/>
        </w:tabs>
        <w:ind w:left="5670"/>
        <w:rPr>
          <w:rFonts w:asciiTheme="minorHAnsi" w:hAnsiTheme="minorHAnsi"/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4C4E66">
        <w:rPr>
          <w:sz w:val="28"/>
          <w:szCs w:val="28"/>
        </w:rPr>
        <w:t>28.11.2018</w:t>
      </w:r>
      <w:r w:rsidRPr="00814DA1">
        <w:rPr>
          <w:sz w:val="28"/>
          <w:szCs w:val="28"/>
        </w:rPr>
        <w:t xml:space="preserve"> №</w:t>
      </w:r>
      <w:r w:rsidRPr="004C4E66">
        <w:rPr>
          <w:rFonts w:ascii="140" w:hAnsi="140"/>
          <w:sz w:val="28"/>
          <w:szCs w:val="28"/>
        </w:rPr>
        <w:t xml:space="preserve"> </w:t>
      </w:r>
      <w:r w:rsidR="004C4E66">
        <w:rPr>
          <w:rFonts w:asciiTheme="minorHAnsi" w:hAnsiTheme="minorHAnsi"/>
          <w:sz w:val="28"/>
          <w:szCs w:val="28"/>
        </w:rPr>
        <w:t>140</w:t>
      </w:r>
    </w:p>
    <w:p w:rsidR="00FD30A6" w:rsidRDefault="00FD30A6" w:rsidP="00FD30A6">
      <w:pPr>
        <w:suppressAutoHyphens/>
        <w:ind w:firstLine="426"/>
        <w:jc w:val="right"/>
        <w:rPr>
          <w:bCs/>
          <w:sz w:val="28"/>
          <w:szCs w:val="28"/>
        </w:rPr>
      </w:pPr>
    </w:p>
    <w:p w:rsidR="00FD30A6" w:rsidRDefault="00FD30A6" w:rsidP="00FD30A6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FD30A6" w:rsidRPr="00373514" w:rsidRDefault="00FD30A6" w:rsidP="00FD30A6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FD30A6" w:rsidRPr="00373514" w:rsidRDefault="00FD30A6" w:rsidP="00FD30A6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D30A6" w:rsidRPr="00373514" w:rsidRDefault="00FD30A6" w:rsidP="00FD30A6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FD30A6" w:rsidRPr="00373514" w:rsidRDefault="00FD30A6" w:rsidP="00FD30A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="004C4E66">
        <w:rPr>
          <w:sz w:val="28"/>
          <w:szCs w:val="28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FD30A6" w:rsidRPr="00373514" w:rsidRDefault="00FD30A6" w:rsidP="00FD30A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FD30A6" w:rsidRPr="00373514" w:rsidRDefault="00FD30A6" w:rsidP="00FD30A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FD30A6" w:rsidRPr="00373514" w:rsidRDefault="00FD30A6" w:rsidP="00FD30A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FD30A6" w:rsidRPr="00373514" w:rsidRDefault="00FD30A6" w:rsidP="00FD30A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FD30A6" w:rsidRPr="00373514" w:rsidRDefault="00FD30A6" w:rsidP="00FD30A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FD30A6" w:rsidRPr="00373514" w:rsidRDefault="00FD30A6" w:rsidP="00FD30A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FD30A6" w:rsidRPr="00373514" w:rsidRDefault="00FD30A6" w:rsidP="00FD30A6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FD30A6" w:rsidRPr="00373514" w:rsidRDefault="00FD30A6" w:rsidP="00FD30A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FD30A6" w:rsidRDefault="00FD30A6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FD30A6" w:rsidSect="00824350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A" w:rsidRDefault="002E163A" w:rsidP="0000453B">
      <w:r>
        <w:separator/>
      </w:r>
    </w:p>
  </w:endnote>
  <w:endnote w:type="continuationSeparator" w:id="0">
    <w:p w:rsidR="002E163A" w:rsidRDefault="002E163A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4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A" w:rsidRDefault="002E163A" w:rsidP="0000453B">
      <w:r>
        <w:separator/>
      </w:r>
    </w:p>
  </w:footnote>
  <w:footnote w:type="continuationSeparator" w:id="0">
    <w:p w:rsidR="002E163A" w:rsidRDefault="002E163A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CC347A">
        <w:pPr>
          <w:pStyle w:val="a6"/>
          <w:jc w:val="center"/>
        </w:pPr>
        <w:r>
          <w:fldChar w:fldCharType="begin"/>
        </w:r>
        <w:r w:rsidR="00F0360F">
          <w:instrText>PAGE   \* MERGEFORMAT</w:instrText>
        </w:r>
        <w:r>
          <w:fldChar w:fldCharType="separate"/>
        </w:r>
        <w:r w:rsidR="00906725">
          <w:rPr>
            <w:noProof/>
          </w:rPr>
          <w:t>9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2470E"/>
    <w:rsid w:val="00033448"/>
    <w:rsid w:val="000372BC"/>
    <w:rsid w:val="0006189B"/>
    <w:rsid w:val="000A2959"/>
    <w:rsid w:val="000A3432"/>
    <w:rsid w:val="000B5B9A"/>
    <w:rsid w:val="000C7D9F"/>
    <w:rsid w:val="00100CF2"/>
    <w:rsid w:val="001043DB"/>
    <w:rsid w:val="0011399F"/>
    <w:rsid w:val="00120E5A"/>
    <w:rsid w:val="0014683D"/>
    <w:rsid w:val="001504FC"/>
    <w:rsid w:val="00153A94"/>
    <w:rsid w:val="00160BC2"/>
    <w:rsid w:val="001A447F"/>
    <w:rsid w:val="001A6DCF"/>
    <w:rsid w:val="001B4801"/>
    <w:rsid w:val="001D15F5"/>
    <w:rsid w:val="001D2C95"/>
    <w:rsid w:val="00240A20"/>
    <w:rsid w:val="002430DD"/>
    <w:rsid w:val="002644E4"/>
    <w:rsid w:val="002A3808"/>
    <w:rsid w:val="002B755D"/>
    <w:rsid w:val="002E163A"/>
    <w:rsid w:val="003100F3"/>
    <w:rsid w:val="003231A1"/>
    <w:rsid w:val="00333CA4"/>
    <w:rsid w:val="00342C2B"/>
    <w:rsid w:val="00373514"/>
    <w:rsid w:val="00373EF6"/>
    <w:rsid w:val="0038244C"/>
    <w:rsid w:val="003C20EC"/>
    <w:rsid w:val="003E32A7"/>
    <w:rsid w:val="00456823"/>
    <w:rsid w:val="004821A9"/>
    <w:rsid w:val="00483FF3"/>
    <w:rsid w:val="004B7F33"/>
    <w:rsid w:val="004C0478"/>
    <w:rsid w:val="004C4E66"/>
    <w:rsid w:val="005A59E5"/>
    <w:rsid w:val="005C32CB"/>
    <w:rsid w:val="005E4A98"/>
    <w:rsid w:val="005F5119"/>
    <w:rsid w:val="00640F35"/>
    <w:rsid w:val="006A33CE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24350"/>
    <w:rsid w:val="008271E3"/>
    <w:rsid w:val="0083576C"/>
    <w:rsid w:val="00853EB2"/>
    <w:rsid w:val="00857CDA"/>
    <w:rsid w:val="00857EC6"/>
    <w:rsid w:val="008947AD"/>
    <w:rsid w:val="008E1B31"/>
    <w:rsid w:val="008E7269"/>
    <w:rsid w:val="00906725"/>
    <w:rsid w:val="00911FA1"/>
    <w:rsid w:val="00946136"/>
    <w:rsid w:val="009B12DC"/>
    <w:rsid w:val="009D0D56"/>
    <w:rsid w:val="00A44B5C"/>
    <w:rsid w:val="00AC59E4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962C1"/>
    <w:rsid w:val="00BA095B"/>
    <w:rsid w:val="00BA561E"/>
    <w:rsid w:val="00BD7BBA"/>
    <w:rsid w:val="00BF2824"/>
    <w:rsid w:val="00C567CB"/>
    <w:rsid w:val="00C623BE"/>
    <w:rsid w:val="00C75D2F"/>
    <w:rsid w:val="00CB5B58"/>
    <w:rsid w:val="00CB6AE5"/>
    <w:rsid w:val="00CC0B14"/>
    <w:rsid w:val="00CC347A"/>
    <w:rsid w:val="00CD4E56"/>
    <w:rsid w:val="00D33AF2"/>
    <w:rsid w:val="00D3457C"/>
    <w:rsid w:val="00D67EE3"/>
    <w:rsid w:val="00D8110C"/>
    <w:rsid w:val="00D824C4"/>
    <w:rsid w:val="00D85469"/>
    <w:rsid w:val="00DA65DF"/>
    <w:rsid w:val="00E74C7C"/>
    <w:rsid w:val="00E75344"/>
    <w:rsid w:val="00EA4A0E"/>
    <w:rsid w:val="00EA4DD1"/>
    <w:rsid w:val="00EA59A4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0A6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CD5E-5818-4CAE-A04E-1332A3F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Dimka</cp:lastModifiedBy>
  <cp:revision>2</cp:revision>
  <cp:lastPrinted>2018-10-25T06:17:00Z</cp:lastPrinted>
  <dcterms:created xsi:type="dcterms:W3CDTF">2018-11-29T09:00:00Z</dcterms:created>
  <dcterms:modified xsi:type="dcterms:W3CDTF">2018-11-29T09:00:00Z</dcterms:modified>
</cp:coreProperties>
</file>