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15052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732794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15052">
      <w:pPr>
        <w:shd w:val="clear" w:color="auto" w:fill="FFFFFF"/>
        <w:spacing w:line="360" w:lineRule="auto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15052">
      <w:pPr>
        <w:shd w:val="clear" w:color="auto" w:fill="FFFFFF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15052">
      <w:pPr>
        <w:shd w:val="clear" w:color="auto" w:fill="FFFFFF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15052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01AC8" w:rsidRDefault="003C3377" w:rsidP="00001AC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C3377">
        <w:rPr>
          <w:rFonts w:eastAsia="Calibri"/>
          <w:sz w:val="24"/>
          <w:szCs w:val="24"/>
          <w:lang w:eastAsia="ar-SA"/>
        </w:rPr>
        <w:t>от «_</w:t>
      </w:r>
      <w:r w:rsidR="00E77CE1">
        <w:rPr>
          <w:rFonts w:eastAsia="Calibri"/>
          <w:sz w:val="24"/>
          <w:szCs w:val="24"/>
          <w:lang w:eastAsia="ar-SA"/>
        </w:rPr>
        <w:t>06</w:t>
      </w:r>
      <w:r w:rsidRPr="003C3377">
        <w:rPr>
          <w:rFonts w:eastAsia="Calibri"/>
          <w:sz w:val="24"/>
          <w:szCs w:val="24"/>
          <w:lang w:eastAsia="ar-SA"/>
        </w:rPr>
        <w:t>_»_</w:t>
      </w:r>
      <w:r w:rsidR="00E77CE1">
        <w:rPr>
          <w:rFonts w:eastAsia="Calibri"/>
          <w:sz w:val="24"/>
          <w:szCs w:val="24"/>
          <w:lang w:eastAsia="ar-SA"/>
        </w:rPr>
        <w:t>11</w:t>
      </w:r>
      <w:r w:rsidRPr="003C3377">
        <w:rPr>
          <w:rFonts w:eastAsia="Calibri"/>
          <w:sz w:val="24"/>
          <w:szCs w:val="24"/>
          <w:lang w:eastAsia="ar-SA"/>
        </w:rPr>
        <w:t>__ 20</w:t>
      </w:r>
      <w:r w:rsidR="00E77CE1">
        <w:rPr>
          <w:rFonts w:eastAsia="Calibri"/>
          <w:sz w:val="24"/>
          <w:szCs w:val="24"/>
          <w:lang w:eastAsia="ar-SA"/>
        </w:rPr>
        <w:t xml:space="preserve">20 </w:t>
      </w:r>
      <w:r w:rsidRPr="003C3377">
        <w:rPr>
          <w:rFonts w:eastAsia="Calibri"/>
          <w:sz w:val="24"/>
          <w:szCs w:val="24"/>
          <w:lang w:eastAsia="ar-SA"/>
        </w:rPr>
        <w:t>г.</w:t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  <w:t xml:space="preserve">                     </w:t>
      </w:r>
      <w:r w:rsidR="00E77CE1">
        <w:rPr>
          <w:sz w:val="24"/>
          <w:szCs w:val="24"/>
          <w:lang w:eastAsia="ar-SA"/>
        </w:rPr>
        <w:t xml:space="preserve">                             </w:t>
      </w:r>
      <w:r w:rsidR="00001AC8">
        <w:rPr>
          <w:sz w:val="24"/>
          <w:szCs w:val="24"/>
          <w:lang w:eastAsia="ar-SA"/>
        </w:rPr>
        <w:t>№_</w:t>
      </w:r>
      <w:r w:rsidR="00E77CE1">
        <w:rPr>
          <w:sz w:val="24"/>
          <w:szCs w:val="24"/>
          <w:lang w:eastAsia="ar-SA"/>
        </w:rPr>
        <w:t>619</w:t>
      </w:r>
      <w:r w:rsidR="00001AC8">
        <w:rPr>
          <w:sz w:val="24"/>
          <w:szCs w:val="24"/>
          <w:lang w:eastAsia="ar-SA"/>
        </w:rPr>
        <w:t>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2723CE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постановление администрации Иркутского районного муниципального образования от 17.01.2020 № 18 «</w:t>
      </w:r>
      <w:r w:rsidR="00EC0BDD"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="00EC0BDD"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="00EC0BDD"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20</w:t>
      </w:r>
      <w:r w:rsidR="00EC0BDD" w:rsidRPr="00EC0BDD">
        <w:rPr>
          <w:sz w:val="28"/>
          <w:szCs w:val="28"/>
          <w:lang w:eastAsia="ar-SA"/>
        </w:rPr>
        <w:t xml:space="preserve"> году</w:t>
      </w:r>
      <w:r>
        <w:rPr>
          <w:sz w:val="28"/>
          <w:szCs w:val="28"/>
          <w:lang w:eastAsia="ar-SA"/>
        </w:rPr>
        <w:t>»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067F2" w:rsidRDefault="00A067F2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целях эффективной реализации в 20</w:t>
      </w:r>
      <w:r w:rsidR="00976CB6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году 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723C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использования экономии, сложившейся по результатам проведения процедур, руководствуясь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о предоставлении субсидий из областного бюджета местным бюджетам в целях </w:t>
      </w:r>
      <w:proofErr w:type="spell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A067F2" w:rsidRPr="00A067F2">
        <w:rPr>
          <w:rFonts w:ascii="Times New Roman" w:hAnsi="Times New Roman" w:cs="Times New Roman"/>
          <w:sz w:val="28"/>
          <w:szCs w:val="28"/>
          <w:lang w:eastAsia="ar-SA"/>
        </w:rPr>
        <w:t>.02</w:t>
      </w:r>
      <w:r w:rsidR="00A067F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 xml:space="preserve">2019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723CE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108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proofErr w:type="gramEnd"/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субсидий из областного бюджета местным бюджетам в целях </w:t>
      </w:r>
      <w:proofErr w:type="spellStart"/>
      <w:r w:rsidR="00716BB7">
        <w:rPr>
          <w:rFonts w:ascii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23CE" w:rsidRDefault="00EC0BDD" w:rsidP="005241BF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1. </w:t>
      </w:r>
      <w:r w:rsidR="002723CE" w:rsidRPr="002723CE">
        <w:rPr>
          <w:sz w:val="28"/>
          <w:szCs w:val="28"/>
          <w:lang w:eastAsia="ar-SA"/>
        </w:rPr>
        <w:t xml:space="preserve">Внести изменения в постановление администрации Иркутского районного муниципального образования от </w:t>
      </w:r>
      <w:r w:rsidR="002723CE">
        <w:rPr>
          <w:sz w:val="28"/>
          <w:szCs w:val="28"/>
          <w:lang w:eastAsia="ar-SA"/>
        </w:rPr>
        <w:t>17</w:t>
      </w:r>
      <w:r w:rsidR="002723CE" w:rsidRPr="002723CE">
        <w:rPr>
          <w:sz w:val="28"/>
          <w:szCs w:val="28"/>
          <w:lang w:eastAsia="ar-SA"/>
        </w:rPr>
        <w:t>.0</w:t>
      </w:r>
      <w:r w:rsidR="002723CE">
        <w:rPr>
          <w:sz w:val="28"/>
          <w:szCs w:val="28"/>
          <w:lang w:eastAsia="ar-SA"/>
        </w:rPr>
        <w:t>1</w:t>
      </w:r>
      <w:r w:rsidR="002723CE" w:rsidRPr="002723CE">
        <w:rPr>
          <w:sz w:val="28"/>
          <w:szCs w:val="28"/>
          <w:lang w:eastAsia="ar-SA"/>
        </w:rPr>
        <w:t>.20</w:t>
      </w:r>
      <w:r w:rsidR="002723CE">
        <w:rPr>
          <w:sz w:val="28"/>
          <w:szCs w:val="28"/>
          <w:lang w:eastAsia="ar-SA"/>
        </w:rPr>
        <w:t>20</w:t>
      </w:r>
      <w:r w:rsidR="002723CE" w:rsidRPr="002723CE">
        <w:rPr>
          <w:sz w:val="28"/>
          <w:szCs w:val="28"/>
          <w:lang w:eastAsia="ar-SA"/>
        </w:rPr>
        <w:t xml:space="preserve"> № </w:t>
      </w:r>
      <w:r w:rsidR="002723CE">
        <w:rPr>
          <w:sz w:val="28"/>
          <w:szCs w:val="28"/>
          <w:lang w:eastAsia="ar-SA"/>
        </w:rPr>
        <w:t>18</w:t>
      </w:r>
      <w:r w:rsidR="002723CE" w:rsidRPr="002723CE">
        <w:rPr>
          <w:sz w:val="28"/>
          <w:szCs w:val="28"/>
          <w:lang w:eastAsia="ar-SA"/>
        </w:rPr>
        <w:t xml:space="preserve"> «О реализации </w:t>
      </w:r>
      <w:r w:rsidR="002723CE">
        <w:rPr>
          <w:sz w:val="28"/>
          <w:szCs w:val="28"/>
          <w:lang w:eastAsia="ar-SA"/>
        </w:rPr>
        <w:t>м</w:t>
      </w:r>
      <w:r w:rsidR="002723CE" w:rsidRPr="002723CE">
        <w:rPr>
          <w:sz w:val="28"/>
          <w:szCs w:val="28"/>
          <w:lang w:eastAsia="ar-SA"/>
        </w:rPr>
        <w:t>ероприятий перечня проектов народных инициатив в Иркутском районном муниципальном образовании в 20</w:t>
      </w:r>
      <w:r w:rsidR="002723CE">
        <w:rPr>
          <w:sz w:val="28"/>
          <w:szCs w:val="28"/>
          <w:lang w:eastAsia="ar-SA"/>
        </w:rPr>
        <w:t>20</w:t>
      </w:r>
      <w:r w:rsidR="002723CE" w:rsidRPr="002723CE">
        <w:rPr>
          <w:sz w:val="28"/>
          <w:szCs w:val="28"/>
          <w:lang w:eastAsia="ar-SA"/>
        </w:rPr>
        <w:t xml:space="preserve"> году»</w:t>
      </w:r>
      <w:r w:rsidR="005241BF">
        <w:rPr>
          <w:sz w:val="28"/>
          <w:szCs w:val="28"/>
          <w:lang w:eastAsia="ar-SA"/>
        </w:rPr>
        <w:t xml:space="preserve">, изложив </w:t>
      </w:r>
      <w:r w:rsidR="002723CE" w:rsidRPr="002723CE">
        <w:rPr>
          <w:sz w:val="28"/>
          <w:szCs w:val="28"/>
          <w:lang w:eastAsia="ar-SA"/>
        </w:rPr>
        <w:t xml:space="preserve">приложение 1 в редакции </w:t>
      </w:r>
      <w:r w:rsidR="005241BF">
        <w:rPr>
          <w:sz w:val="28"/>
          <w:szCs w:val="28"/>
          <w:lang w:eastAsia="ar-SA"/>
        </w:rPr>
        <w:t xml:space="preserve">согласно </w:t>
      </w:r>
      <w:r w:rsidR="002723CE" w:rsidRPr="002723CE">
        <w:rPr>
          <w:sz w:val="28"/>
          <w:szCs w:val="28"/>
          <w:lang w:eastAsia="ar-SA"/>
        </w:rPr>
        <w:t>приложен</w:t>
      </w:r>
      <w:r w:rsidR="00623656">
        <w:rPr>
          <w:sz w:val="28"/>
          <w:szCs w:val="28"/>
          <w:lang w:eastAsia="ar-SA"/>
        </w:rPr>
        <w:t>и</w:t>
      </w:r>
      <w:r w:rsidR="005241BF">
        <w:rPr>
          <w:sz w:val="28"/>
          <w:szCs w:val="28"/>
          <w:lang w:eastAsia="ar-SA"/>
        </w:rPr>
        <w:t>ю</w:t>
      </w:r>
      <w:r w:rsidR="00623656">
        <w:rPr>
          <w:sz w:val="28"/>
          <w:szCs w:val="28"/>
          <w:lang w:eastAsia="ar-SA"/>
        </w:rPr>
        <w:t xml:space="preserve"> </w:t>
      </w:r>
      <w:r w:rsidR="002723CE">
        <w:rPr>
          <w:sz w:val="28"/>
          <w:szCs w:val="28"/>
          <w:lang w:eastAsia="ar-SA"/>
        </w:rPr>
        <w:t>к настоящему постановлению.</w:t>
      </w:r>
    </w:p>
    <w:p w:rsidR="002723CE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2723CE" w:rsidRPr="002723CE">
        <w:rPr>
          <w:sz w:val="28"/>
          <w:szCs w:val="28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</w:t>
      </w:r>
      <w:r w:rsidR="002723CE">
        <w:rPr>
          <w:sz w:val="28"/>
          <w:szCs w:val="28"/>
        </w:rPr>
        <w:t>17</w:t>
      </w:r>
      <w:r w:rsidR="002723CE" w:rsidRPr="002723CE">
        <w:rPr>
          <w:sz w:val="28"/>
          <w:szCs w:val="28"/>
        </w:rPr>
        <w:t>.0</w:t>
      </w:r>
      <w:r w:rsidR="002723CE">
        <w:rPr>
          <w:sz w:val="28"/>
          <w:szCs w:val="28"/>
        </w:rPr>
        <w:t>1</w:t>
      </w:r>
      <w:r w:rsidR="002723CE" w:rsidRPr="002723CE">
        <w:rPr>
          <w:sz w:val="28"/>
          <w:szCs w:val="28"/>
        </w:rPr>
        <w:t>.20</w:t>
      </w:r>
      <w:r w:rsidR="002723CE">
        <w:rPr>
          <w:sz w:val="28"/>
          <w:szCs w:val="28"/>
        </w:rPr>
        <w:t>20</w:t>
      </w:r>
      <w:r w:rsidR="002723CE" w:rsidRPr="002723CE">
        <w:rPr>
          <w:sz w:val="28"/>
          <w:szCs w:val="28"/>
        </w:rPr>
        <w:t xml:space="preserve"> №</w:t>
      </w:r>
      <w:r w:rsidR="002723CE">
        <w:rPr>
          <w:sz w:val="28"/>
          <w:szCs w:val="28"/>
        </w:rPr>
        <w:t> 18</w:t>
      </w:r>
      <w:r w:rsidR="002723CE" w:rsidRPr="002723CE">
        <w:rPr>
          <w:sz w:val="28"/>
          <w:szCs w:val="28"/>
        </w:rPr>
        <w:t xml:space="preserve"> «О реализации </w:t>
      </w:r>
      <w:r w:rsidR="002723CE">
        <w:rPr>
          <w:sz w:val="28"/>
          <w:szCs w:val="28"/>
        </w:rPr>
        <w:t>м</w:t>
      </w:r>
      <w:r w:rsidR="002723CE" w:rsidRPr="002723CE">
        <w:rPr>
          <w:sz w:val="28"/>
          <w:szCs w:val="28"/>
        </w:rPr>
        <w:t>ероприятий перечня проектов народных инициатив в Иркутском районном муниципальном образовании в 20</w:t>
      </w:r>
      <w:r w:rsidR="002723CE">
        <w:rPr>
          <w:sz w:val="28"/>
          <w:szCs w:val="28"/>
        </w:rPr>
        <w:t>20</w:t>
      </w:r>
      <w:r w:rsidR="002723CE" w:rsidRPr="002723CE">
        <w:rPr>
          <w:sz w:val="28"/>
          <w:szCs w:val="28"/>
        </w:rPr>
        <w:t xml:space="preserve"> году» информацию о внесении изменений в правовой акт.</w:t>
      </w:r>
    </w:p>
    <w:p w:rsidR="004B37AC" w:rsidRPr="004B37AC" w:rsidRDefault="008201B8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96608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proofErr w:type="gramStart"/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proofErr w:type="gramEnd"/>
      <w:r w:rsidR="00D01540" w:rsidRPr="004B37AC">
        <w:rPr>
          <w:sz w:val="28"/>
          <w:szCs w:val="28"/>
          <w:lang w:eastAsia="ar-SA"/>
        </w:rPr>
        <w:t xml:space="preserve">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</w:t>
      </w:r>
      <w:r w:rsidR="004B37AC" w:rsidRPr="004B37AC">
        <w:rPr>
          <w:sz w:val="28"/>
          <w:szCs w:val="28"/>
          <w:lang w:eastAsia="ar-SA"/>
        </w:rPr>
        <w:lastRenderedPageBreak/>
        <w:t>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A067F2" w:rsidP="00B54F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4B37AC" w:rsidRPr="004B37AC">
        <w:rPr>
          <w:sz w:val="28"/>
          <w:szCs w:val="28"/>
          <w:lang w:eastAsia="ar-SA"/>
        </w:rPr>
        <w:t xml:space="preserve">. Контроль исполнения настоящего постановления возложить на </w:t>
      </w:r>
      <w:r w:rsidR="00324B05">
        <w:rPr>
          <w:sz w:val="28"/>
          <w:szCs w:val="28"/>
          <w:lang w:eastAsia="ar-SA"/>
        </w:rPr>
        <w:t xml:space="preserve">первого </w:t>
      </w:r>
      <w:r w:rsidR="004B37AC" w:rsidRPr="004B37AC">
        <w:rPr>
          <w:sz w:val="28"/>
          <w:szCs w:val="28"/>
          <w:lang w:eastAsia="ar-SA"/>
        </w:rPr>
        <w:t>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sz w:val="28"/>
          <w:szCs w:val="28"/>
        </w:rPr>
        <w:t>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lastRenderedPageBreak/>
        <w:t>Пр</w:t>
      </w:r>
      <w:bookmarkStart w:id="0" w:name="_GoBack"/>
      <w:bookmarkEnd w:id="0"/>
      <w:r w:rsidRPr="00670212">
        <w:rPr>
          <w:bCs/>
          <w:color w:val="000000"/>
          <w:sz w:val="28"/>
          <w:szCs w:val="28"/>
        </w:rPr>
        <w:t>иложение к постановлению администрации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Иркутского районного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муниципального образования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от 06.11.2020 № 619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«Приложение 1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 xml:space="preserve">Утвержден 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постановлением администрации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Иркутского районного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муниципального образования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670212">
        <w:rPr>
          <w:bCs/>
          <w:color w:val="000000"/>
          <w:sz w:val="28"/>
          <w:szCs w:val="28"/>
        </w:rPr>
        <w:t>от 17.01.2020 № 18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670212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670212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670212">
        <w:rPr>
          <w:b/>
          <w:caps/>
          <w:color w:val="000000"/>
          <w:sz w:val="28"/>
          <w:szCs w:val="28"/>
        </w:rPr>
        <w:t>на 2020 год</w:t>
      </w:r>
    </w:p>
    <w:p w:rsidR="00670212" w:rsidRPr="00670212" w:rsidRDefault="00670212" w:rsidP="00670212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4610"/>
        <w:gridCol w:w="1843"/>
        <w:gridCol w:w="1418"/>
        <w:gridCol w:w="1417"/>
      </w:tblGrid>
      <w:tr w:rsidR="00670212" w:rsidRPr="00670212" w:rsidTr="000C3828">
        <w:trPr>
          <w:trHeight w:val="286"/>
          <w:tblHeader/>
        </w:trPr>
        <w:tc>
          <w:tcPr>
            <w:tcW w:w="494" w:type="dxa"/>
            <w:vMerge w:val="restart"/>
            <w:vAlign w:val="center"/>
          </w:tcPr>
          <w:p w:rsidR="00670212" w:rsidRPr="00670212" w:rsidRDefault="00670212" w:rsidP="00670212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021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7021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0" w:type="dxa"/>
            <w:vMerge w:val="restart"/>
            <w:vAlign w:val="center"/>
          </w:tcPr>
          <w:p w:rsidR="00670212" w:rsidRPr="00670212" w:rsidRDefault="00670212" w:rsidP="00670212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70212" w:rsidRPr="00670212" w:rsidRDefault="00670212" w:rsidP="00670212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670212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670212" w:rsidRPr="00670212" w:rsidRDefault="00670212" w:rsidP="00670212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pacing w:val="-14"/>
                <w:sz w:val="24"/>
                <w:szCs w:val="24"/>
              </w:rPr>
              <w:t>финансирования  всего, руб.</w:t>
            </w:r>
          </w:p>
        </w:tc>
        <w:tc>
          <w:tcPr>
            <w:tcW w:w="2835" w:type="dxa"/>
            <w:gridSpan w:val="2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70212">
              <w:rPr>
                <w:color w:val="000000"/>
                <w:spacing w:val="-10"/>
                <w:sz w:val="24"/>
                <w:szCs w:val="24"/>
              </w:rPr>
              <w:t xml:space="preserve">в том числе </w:t>
            </w:r>
            <w:proofErr w:type="gramStart"/>
            <w:r w:rsidRPr="00670212">
              <w:rPr>
                <w:color w:val="000000"/>
                <w:spacing w:val="-10"/>
                <w:sz w:val="24"/>
                <w:szCs w:val="24"/>
              </w:rPr>
              <w:t>из</w:t>
            </w:r>
            <w:proofErr w:type="gramEnd"/>
            <w:r w:rsidRPr="00670212">
              <w:rPr>
                <w:color w:val="000000"/>
                <w:spacing w:val="-10"/>
                <w:sz w:val="24"/>
                <w:szCs w:val="24"/>
              </w:rPr>
              <w:t>:</w:t>
            </w:r>
          </w:p>
        </w:tc>
      </w:tr>
      <w:tr w:rsidR="00670212" w:rsidRPr="00670212" w:rsidTr="000C3828">
        <w:trPr>
          <w:trHeight w:val="286"/>
          <w:tblHeader/>
        </w:trPr>
        <w:tc>
          <w:tcPr>
            <w:tcW w:w="494" w:type="dxa"/>
            <w:vMerge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vMerge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70212">
              <w:rPr>
                <w:color w:val="000000"/>
                <w:spacing w:val="-10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670212">
              <w:rPr>
                <w:color w:val="000000"/>
                <w:spacing w:val="-10"/>
                <w:sz w:val="24"/>
                <w:szCs w:val="24"/>
              </w:rPr>
              <w:t>местного        бюджета, руб.</w:t>
            </w:r>
          </w:p>
        </w:tc>
      </w:tr>
      <w:tr w:rsidR="00670212" w:rsidRPr="00670212" w:rsidTr="000C3828">
        <w:trPr>
          <w:trHeight w:val="173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</w:t>
            </w:r>
          </w:p>
        </w:tc>
      </w:tr>
      <w:tr w:rsidR="00670212" w:rsidRPr="00670212" w:rsidTr="000C3828">
        <w:trPr>
          <w:trHeight w:val="1206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Оснащение спортивным оборудованием и инвентарем спортзалов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1 307 479,46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1 189 806,27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117 673,19</w:t>
            </w:r>
          </w:p>
        </w:tc>
      </w:tr>
      <w:tr w:rsidR="00670212" w:rsidRPr="00670212" w:rsidTr="000C3828">
        <w:trPr>
          <w:trHeight w:val="982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Оснащение учебной мебелью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2 921 808,22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2 658 845,48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262 962,74</w:t>
            </w:r>
          </w:p>
        </w:tc>
      </w:tr>
      <w:tr w:rsidR="00670212" w:rsidRPr="00670212" w:rsidTr="000C3828">
        <w:trPr>
          <w:trHeight w:val="840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pacing w:val="-19"/>
                <w:sz w:val="24"/>
                <w:szCs w:val="24"/>
              </w:rPr>
            </w:pPr>
            <w:r w:rsidRPr="00670212">
              <w:rPr>
                <w:color w:val="000000"/>
                <w:spacing w:val="-19"/>
                <w:sz w:val="24"/>
                <w:szCs w:val="24"/>
              </w:rPr>
              <w:t>3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pacing w:val="-4"/>
                <w:sz w:val="24"/>
                <w:szCs w:val="24"/>
              </w:rPr>
            </w:pPr>
            <w:r w:rsidRPr="00670212">
              <w:rPr>
                <w:color w:val="000000"/>
                <w:spacing w:val="-4"/>
                <w:sz w:val="24"/>
                <w:szCs w:val="24"/>
              </w:rPr>
              <w:t>Оснащение компьютерными классами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5 267 520,00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4 793 443,05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474 076,95</w:t>
            </w:r>
          </w:p>
        </w:tc>
      </w:tr>
      <w:tr w:rsidR="00670212" w:rsidRPr="00670212" w:rsidTr="000C3828">
        <w:trPr>
          <w:trHeight w:val="983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pacing w:val="-6"/>
                <w:sz w:val="24"/>
                <w:szCs w:val="24"/>
              </w:rPr>
            </w:pPr>
            <w:r w:rsidRPr="00670212">
              <w:rPr>
                <w:color w:val="000000"/>
                <w:spacing w:val="-6"/>
                <w:sz w:val="24"/>
                <w:szCs w:val="24"/>
              </w:rPr>
              <w:t>Приобретение компьютеров в сборе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560 640,00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510 182,38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50 457,62</w:t>
            </w:r>
          </w:p>
        </w:tc>
      </w:tr>
      <w:tr w:rsidR="00670212" w:rsidRPr="00670212" w:rsidTr="000C3828">
        <w:trPr>
          <w:trHeight w:val="838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Приобретение столового и холодильного оборудования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1 915 469,68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1 743 077,36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172 392,32</w:t>
            </w:r>
          </w:p>
        </w:tc>
      </w:tr>
      <w:tr w:rsidR="00670212" w:rsidRPr="00670212" w:rsidTr="000C3828">
        <w:trPr>
          <w:trHeight w:val="826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Приобретение столового инвентаря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741 184,50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674 477,87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66 706,63</w:t>
            </w:r>
          </w:p>
        </w:tc>
      </w:tr>
      <w:tr w:rsidR="00670212" w:rsidRPr="00670212" w:rsidTr="000C3828">
        <w:trPr>
          <w:trHeight w:val="683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Приобретение кухонного инвентаря для образовательных организаций Иркутского районного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441 784,00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402 023,43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39 760,57</w:t>
            </w:r>
          </w:p>
        </w:tc>
      </w:tr>
    </w:tbl>
    <w:p w:rsidR="00670212" w:rsidRPr="00670212" w:rsidRDefault="00670212" w:rsidP="0067021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0212" w:rsidRPr="00670212" w:rsidRDefault="00670212" w:rsidP="0067021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4610"/>
        <w:gridCol w:w="1843"/>
        <w:gridCol w:w="1418"/>
        <w:gridCol w:w="1417"/>
      </w:tblGrid>
      <w:tr w:rsidR="00670212" w:rsidRPr="00670212" w:rsidTr="000C3828">
        <w:trPr>
          <w:trHeight w:val="320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</w:tr>
      <w:tr w:rsidR="00670212" w:rsidRPr="00670212" w:rsidTr="000C3828">
        <w:trPr>
          <w:trHeight w:val="415"/>
          <w:tblHeader/>
        </w:trPr>
        <w:tc>
          <w:tcPr>
            <w:tcW w:w="5104" w:type="dxa"/>
            <w:gridSpan w:val="2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Дополнительное мероприятие:</w:t>
            </w:r>
          </w:p>
        </w:tc>
        <w:tc>
          <w:tcPr>
            <w:tcW w:w="4678" w:type="dxa"/>
            <w:gridSpan w:val="3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670212" w:rsidRPr="00670212" w:rsidTr="000C3828">
        <w:trPr>
          <w:trHeight w:val="683"/>
          <w:tblHeader/>
        </w:trPr>
        <w:tc>
          <w:tcPr>
            <w:tcW w:w="494" w:type="dxa"/>
            <w:vAlign w:val="center"/>
          </w:tcPr>
          <w:p w:rsidR="00670212" w:rsidRPr="00670212" w:rsidRDefault="00670212" w:rsidP="00670212">
            <w:pPr>
              <w:widowControl/>
              <w:ind w:left="-36"/>
              <w:jc w:val="center"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 xml:space="preserve">Приобретение компьютеров в сборе (моноблоков) для образовательных организаций Иркутского районного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3 327 631,14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3 028 144,16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12" w:rsidRPr="00670212" w:rsidRDefault="00670212" w:rsidP="006702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670212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299 486,98</w:t>
            </w:r>
          </w:p>
        </w:tc>
      </w:tr>
      <w:tr w:rsidR="00670212" w:rsidRPr="00670212" w:rsidTr="000C3828">
        <w:trPr>
          <w:trHeight w:val="480"/>
          <w:tblHeader/>
        </w:trPr>
        <w:tc>
          <w:tcPr>
            <w:tcW w:w="5104" w:type="dxa"/>
            <w:gridSpan w:val="2"/>
            <w:vAlign w:val="center"/>
          </w:tcPr>
          <w:p w:rsidR="00670212" w:rsidRPr="00670212" w:rsidRDefault="00670212" w:rsidP="00670212">
            <w:pPr>
              <w:widowControl/>
              <w:rPr>
                <w:color w:val="000000"/>
                <w:sz w:val="24"/>
                <w:szCs w:val="24"/>
              </w:rPr>
            </w:pPr>
            <w:r w:rsidRPr="0067021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16 483 517,00</w:t>
            </w:r>
          </w:p>
        </w:tc>
        <w:tc>
          <w:tcPr>
            <w:tcW w:w="1418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15 000 000,00</w:t>
            </w:r>
          </w:p>
        </w:tc>
        <w:tc>
          <w:tcPr>
            <w:tcW w:w="1417" w:type="dxa"/>
            <w:vAlign w:val="center"/>
          </w:tcPr>
          <w:p w:rsidR="00670212" w:rsidRPr="00670212" w:rsidRDefault="00670212" w:rsidP="00670212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670212">
              <w:rPr>
                <w:color w:val="000000"/>
                <w:spacing w:val="-8"/>
                <w:sz w:val="24"/>
                <w:szCs w:val="24"/>
              </w:rPr>
              <w:t>1 483 517,00</w:t>
            </w:r>
          </w:p>
        </w:tc>
      </w:tr>
    </w:tbl>
    <w:p w:rsidR="00670212" w:rsidRPr="00670212" w:rsidRDefault="00670212" w:rsidP="00670212">
      <w:pPr>
        <w:widowControl/>
        <w:autoSpaceDE/>
        <w:autoSpaceDN/>
        <w:adjustRightInd/>
        <w:spacing w:line="276" w:lineRule="auto"/>
        <w:ind w:left="-426"/>
        <w:jc w:val="right"/>
        <w:rPr>
          <w:sz w:val="28"/>
          <w:szCs w:val="28"/>
          <w:lang w:eastAsia="ar-SA"/>
        </w:rPr>
      </w:pPr>
      <w:r w:rsidRPr="00670212">
        <w:rPr>
          <w:sz w:val="28"/>
          <w:szCs w:val="28"/>
          <w:lang w:eastAsia="ar-SA"/>
        </w:rPr>
        <w:t>».</w:t>
      </w:r>
    </w:p>
    <w:p w:rsidR="00670212" w:rsidRPr="00670212" w:rsidRDefault="00670212" w:rsidP="00670212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670212" w:rsidRPr="00670212" w:rsidRDefault="00670212" w:rsidP="00670212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670212" w:rsidRPr="00670212" w:rsidRDefault="00670212" w:rsidP="00670212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670212">
        <w:rPr>
          <w:sz w:val="28"/>
          <w:szCs w:val="28"/>
          <w:lang w:eastAsia="ar-SA"/>
        </w:rPr>
        <w:t xml:space="preserve">Первый заместитель Мэра района                                                 </w:t>
      </w:r>
      <w:r w:rsidRPr="00670212">
        <w:rPr>
          <w:sz w:val="28"/>
          <w:szCs w:val="28"/>
          <w:lang w:eastAsia="ar-SA"/>
        </w:rPr>
        <w:tab/>
        <w:t xml:space="preserve">            И. В. Жук</w:t>
      </w:r>
    </w:p>
    <w:p w:rsidR="008201B8" w:rsidRPr="00EC0BDD" w:rsidRDefault="008201B8" w:rsidP="00670212">
      <w:pPr>
        <w:shd w:val="clear" w:color="auto" w:fill="FFFFFF"/>
        <w:spacing w:line="322" w:lineRule="exact"/>
        <w:jc w:val="center"/>
        <w:rPr>
          <w:sz w:val="28"/>
          <w:szCs w:val="28"/>
          <w:lang w:eastAsia="ar-SA"/>
        </w:rPr>
      </w:pPr>
    </w:p>
    <w:sectPr w:rsidR="008201B8" w:rsidRPr="00EC0BDD" w:rsidSect="00176212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A4" w:rsidRDefault="006A5EA4" w:rsidP="00D4018B">
      <w:r>
        <w:separator/>
      </w:r>
    </w:p>
  </w:endnote>
  <w:endnote w:type="continuationSeparator" w:id="0">
    <w:p w:rsidR="006A5EA4" w:rsidRDefault="006A5EA4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A4" w:rsidRDefault="006A5EA4" w:rsidP="00D4018B">
      <w:r>
        <w:separator/>
      </w:r>
    </w:p>
  </w:footnote>
  <w:footnote w:type="continuationSeparator" w:id="0">
    <w:p w:rsidR="006A5EA4" w:rsidRDefault="006A5EA4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6A5EA4">
    <w:pPr>
      <w:pStyle w:val="a4"/>
      <w:jc w:val="center"/>
    </w:pPr>
  </w:p>
  <w:p w:rsidR="007A6A1F" w:rsidRDefault="006A5EA4">
    <w:pPr>
      <w:pStyle w:val="a4"/>
      <w:jc w:val="center"/>
    </w:pPr>
  </w:p>
  <w:p w:rsidR="007A6A1F" w:rsidRDefault="006A5E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24510"/>
    <w:rsid w:val="00032B4C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45766"/>
    <w:rsid w:val="00156D88"/>
    <w:rsid w:val="001830D0"/>
    <w:rsid w:val="001909EF"/>
    <w:rsid w:val="001940D1"/>
    <w:rsid w:val="001B14F1"/>
    <w:rsid w:val="001D433E"/>
    <w:rsid w:val="001D76E1"/>
    <w:rsid w:val="00201071"/>
    <w:rsid w:val="00214A03"/>
    <w:rsid w:val="00222500"/>
    <w:rsid w:val="00230BFA"/>
    <w:rsid w:val="00231EC6"/>
    <w:rsid w:val="00234B91"/>
    <w:rsid w:val="002457FC"/>
    <w:rsid w:val="0025506C"/>
    <w:rsid w:val="00256F0E"/>
    <w:rsid w:val="002723CE"/>
    <w:rsid w:val="00282920"/>
    <w:rsid w:val="0028485A"/>
    <w:rsid w:val="00286EBF"/>
    <w:rsid w:val="002946BA"/>
    <w:rsid w:val="002A09A0"/>
    <w:rsid w:val="002A745B"/>
    <w:rsid w:val="002B2987"/>
    <w:rsid w:val="002B59C1"/>
    <w:rsid w:val="002C34CD"/>
    <w:rsid w:val="002E3234"/>
    <w:rsid w:val="002E3AE5"/>
    <w:rsid w:val="002F2C1B"/>
    <w:rsid w:val="002F79DB"/>
    <w:rsid w:val="002F7E7B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C3377"/>
    <w:rsid w:val="003D0D98"/>
    <w:rsid w:val="003F7B2B"/>
    <w:rsid w:val="0041432A"/>
    <w:rsid w:val="00415052"/>
    <w:rsid w:val="00426B1F"/>
    <w:rsid w:val="00445FDC"/>
    <w:rsid w:val="004676D2"/>
    <w:rsid w:val="004755B7"/>
    <w:rsid w:val="00481417"/>
    <w:rsid w:val="004850DE"/>
    <w:rsid w:val="0049026D"/>
    <w:rsid w:val="00494C0C"/>
    <w:rsid w:val="00496613"/>
    <w:rsid w:val="004A3FA6"/>
    <w:rsid w:val="004B37AC"/>
    <w:rsid w:val="004B3E9A"/>
    <w:rsid w:val="004B4231"/>
    <w:rsid w:val="004B62B2"/>
    <w:rsid w:val="004B78CB"/>
    <w:rsid w:val="004D3B36"/>
    <w:rsid w:val="004D53F0"/>
    <w:rsid w:val="004E5C84"/>
    <w:rsid w:val="0050146E"/>
    <w:rsid w:val="00501C60"/>
    <w:rsid w:val="005054C2"/>
    <w:rsid w:val="00505C9F"/>
    <w:rsid w:val="005241BF"/>
    <w:rsid w:val="00532911"/>
    <w:rsid w:val="005342C8"/>
    <w:rsid w:val="00550C3E"/>
    <w:rsid w:val="0058115C"/>
    <w:rsid w:val="005902FF"/>
    <w:rsid w:val="005C33B2"/>
    <w:rsid w:val="005D05CD"/>
    <w:rsid w:val="00607E49"/>
    <w:rsid w:val="00623656"/>
    <w:rsid w:val="00670212"/>
    <w:rsid w:val="00677BD8"/>
    <w:rsid w:val="00684EA0"/>
    <w:rsid w:val="006A5EA4"/>
    <w:rsid w:val="006C12CD"/>
    <w:rsid w:val="006D282E"/>
    <w:rsid w:val="006E0424"/>
    <w:rsid w:val="006F1615"/>
    <w:rsid w:val="006F325A"/>
    <w:rsid w:val="00716BB7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D1A86"/>
    <w:rsid w:val="007E6DB6"/>
    <w:rsid w:val="007F67D3"/>
    <w:rsid w:val="0080430A"/>
    <w:rsid w:val="00807116"/>
    <w:rsid w:val="00814871"/>
    <w:rsid w:val="008201B8"/>
    <w:rsid w:val="00844D49"/>
    <w:rsid w:val="00875795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067F2"/>
    <w:rsid w:val="00A10F1E"/>
    <w:rsid w:val="00A175A0"/>
    <w:rsid w:val="00A274E6"/>
    <w:rsid w:val="00A462B3"/>
    <w:rsid w:val="00A735C0"/>
    <w:rsid w:val="00A91247"/>
    <w:rsid w:val="00A93797"/>
    <w:rsid w:val="00AD70E7"/>
    <w:rsid w:val="00AF31AE"/>
    <w:rsid w:val="00AF4A6F"/>
    <w:rsid w:val="00B2252F"/>
    <w:rsid w:val="00B22629"/>
    <w:rsid w:val="00B35684"/>
    <w:rsid w:val="00B363DF"/>
    <w:rsid w:val="00B378E0"/>
    <w:rsid w:val="00B40D2A"/>
    <w:rsid w:val="00B45537"/>
    <w:rsid w:val="00B54F62"/>
    <w:rsid w:val="00B81222"/>
    <w:rsid w:val="00BA6212"/>
    <w:rsid w:val="00BC5E23"/>
    <w:rsid w:val="00BD5C37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56FC7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51F19"/>
    <w:rsid w:val="00E57435"/>
    <w:rsid w:val="00E77CE1"/>
    <w:rsid w:val="00E90AFA"/>
    <w:rsid w:val="00EA3A8C"/>
    <w:rsid w:val="00EB3F3C"/>
    <w:rsid w:val="00EC0BDD"/>
    <w:rsid w:val="00ED106C"/>
    <w:rsid w:val="00F4459F"/>
    <w:rsid w:val="00F97755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201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201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892D-4B85-4137-B913-87F4E2F0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117</cp:revision>
  <cp:lastPrinted>2020-01-14T02:26:00Z</cp:lastPrinted>
  <dcterms:created xsi:type="dcterms:W3CDTF">2018-03-06T02:22:00Z</dcterms:created>
  <dcterms:modified xsi:type="dcterms:W3CDTF">2020-11-23T08:51:00Z</dcterms:modified>
</cp:coreProperties>
</file>