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Pr="00DC0D77" w:rsidRDefault="00DC0D77" w:rsidP="00DC0D77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42BC94" wp14:editId="0F492A2C">
            <wp:simplePos x="0" y="0"/>
            <wp:positionH relativeFrom="column">
              <wp:posOffset>2748915</wp:posOffset>
            </wp:positionH>
            <wp:positionV relativeFrom="paragraph">
              <wp:posOffset>-656590</wp:posOffset>
            </wp:positionV>
            <wp:extent cx="650875" cy="746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77" w:rsidRPr="00DC0D77" w:rsidRDefault="00DC0D77" w:rsidP="00DC0D7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DC0D77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C0D77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A812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52E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октября 2018г.</w:t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</w:t>
      </w:r>
      <w:r w:rsidR="00A812D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52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</w:t>
      </w:r>
      <w:r w:rsidR="00A953A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 утверждении условий приватизации муниципального имущества – 7,6335 % акций ОАО «Барки»</w:t>
      </w: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Федеральным законом от 21.12.2001 № 178–ФЗ                  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 Думы Иркутского районного муниципального образования от 24.09.2015 № 14-107/</w:t>
      </w:r>
      <w:proofErr w:type="spellStart"/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рд</w:t>
      </w:r>
      <w:proofErr w:type="spellEnd"/>
      <w:proofErr w:type="gramEnd"/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26.10.2017 № 40-385/</w:t>
      </w:r>
      <w:proofErr w:type="spellStart"/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рд</w:t>
      </w:r>
      <w:proofErr w:type="spellEnd"/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2018 год», руководствуясь ст. ст. 39, 45, 54 Устава Иркутского районного муниципального образования:</w:t>
      </w: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1. Утвердить условия приватизации муниципального имущества </w:t>
      </w:r>
      <w:r w:rsidRPr="00A953A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–         </w:t>
      </w: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7,6335 % акций ОАО «Барки» (прилагается).</w:t>
      </w: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 В течение 10 (десяти) дней опубликовать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www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.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irkraion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.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ru</w:t>
        </w:r>
      </w:hyperlink>
      <w:r w:rsidRPr="0036505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 также на </w:t>
      </w:r>
      <w:hyperlink r:id="rId8" w:history="1"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официальном сайте</w:t>
        </w:r>
      </w:hyperlink>
      <w:r w:rsidRPr="0036505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Российской Федерации для размещения информации о проведении торгов </w:t>
      </w:r>
      <w:hyperlink r:id="rId9" w:history="1"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www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.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torgi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.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gov</w:t>
        </w:r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eastAsia="ru-RU"/>
          </w:rPr>
          <w:t>.</w:t>
        </w:r>
        <w:proofErr w:type="spellStart"/>
        <w:r w:rsidRPr="0036505E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6505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A953AE" w:rsidRPr="00A953AE" w:rsidRDefault="00A953AE" w:rsidP="00A953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953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 Контроль исполнения распоряжения возложить на заместителя Мэра. </w:t>
      </w:r>
    </w:p>
    <w:p w:rsidR="00A812D5" w:rsidRPr="00595E15" w:rsidRDefault="00A812D5" w:rsidP="00A81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Л.П. Фролов</w:t>
      </w:r>
    </w:p>
    <w:p w:rsidR="00A812D5" w:rsidRPr="00DC0D77" w:rsidRDefault="00A812D5" w:rsidP="00A812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812D5" w:rsidRPr="00DC0D77" w:rsidTr="003675C6">
        <w:trPr>
          <w:trHeight w:val="1135"/>
        </w:trPr>
        <w:tc>
          <w:tcPr>
            <w:tcW w:w="5070" w:type="dxa"/>
          </w:tcPr>
          <w:p w:rsidR="00A812D5" w:rsidRPr="00DC0D77" w:rsidRDefault="00A812D5" w:rsidP="003675C6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утверждены</w:t>
            </w:r>
          </w:p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распоряжением администрации Иркутского районного муниципального образования </w:t>
            </w:r>
          </w:p>
          <w:p w:rsidR="00A812D5" w:rsidRPr="00DC0D77" w:rsidRDefault="00A812D5" w:rsidP="00A953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от</w:t>
            </w:r>
            <w:r w:rsidRPr="00DC0D77">
              <w:rPr>
                <w:rFonts w:ascii="Times New Roman" w:eastAsia="Times New Roman" w:hAnsi="Times New Roman" w:cs="Arial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F52E0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30.10.</w:t>
            </w: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</w:t>
            </w:r>
            <w:r w:rsidRPr="00DC0D77">
              <w:rPr>
                <w:rFonts w:ascii="Times New Roman" w:eastAsia="Times New Roman" w:hAnsi="Times New Roman" w:cs="Arial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№ </w:t>
            </w:r>
            <w:r w:rsidR="00F52E0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12</w:t>
            </w:r>
            <w:r w:rsidR="00A953A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A812D5" w:rsidRPr="00DC0D77" w:rsidRDefault="00A812D5" w:rsidP="00A812D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CB" w:rsidRPr="008C48CB" w:rsidRDefault="008C48CB" w:rsidP="008C48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УСЛОВИЯ ПРИВАТИЗАЦИИ МУНИЦИПАЛЬНОГО ИМУЩЕСТВА – </w:t>
      </w:r>
    </w:p>
    <w:p w:rsidR="008C48CB" w:rsidRPr="008C48CB" w:rsidRDefault="008C48CB" w:rsidP="008C48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7,6335 % АКЦИЙ ОАО «БАРКИ»</w:t>
      </w:r>
    </w:p>
    <w:p w:rsidR="008C48CB" w:rsidRPr="008C48CB" w:rsidRDefault="008C48CB" w:rsidP="008C48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C48CB" w:rsidRPr="008C48CB" w:rsidRDefault="008C48CB" w:rsidP="008C4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1. Настоящие условия определяют порядок приватизации муниципального имущества – 7,6335 % акций ОАО «Барки» (30000 акций обыкновенных)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принадлежащих Иркутскому районному муниципальному образованию.</w:t>
      </w:r>
    </w:p>
    <w:p w:rsidR="008C48CB" w:rsidRPr="008C48CB" w:rsidRDefault="008C48CB" w:rsidP="008C4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заявляются</w:t>
      </w:r>
      <w:proofErr w:type="gram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 аукциона открыто в ходе проведения торгов.</w:t>
      </w:r>
    </w:p>
    <w:p w:rsidR="008C48CB" w:rsidRPr="008C48CB" w:rsidRDefault="008C48CB" w:rsidP="008C4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Нормативная цена имущества составляет 60000 рублей в соответствии с отчетом № 362/18 по определению рыночной стоимости движимого имущества от 18.10.2018.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продажи – 60000 (шестьдесят тысяч) рублей.</w:t>
      </w:r>
    </w:p>
    <w:p w:rsidR="008C48CB" w:rsidRPr="008C48CB" w:rsidRDefault="008C48CB" w:rsidP="008C48CB">
      <w:pPr>
        <w:widowControl w:val="0"/>
        <w:tabs>
          <w:tab w:val="left" w:pos="8931"/>
          <w:tab w:val="left" w:pos="949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аукциона (величина повышения начальной цены) составляет 5 % от начальной стоимости имущества – 3000 (три тысячи) рублей.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вносится в валюте Российской Федерации в размере 20 % от начальной стоимости имущества – 12000 (двенадцать тысяч) рублей на счет Продавца.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условия – возмещение затрат в размере 95000 (девяносто пять тысяч) рублей на проведение оценки рыночной стоимости в течение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рабочих дней с момента подписания договора купли-продажи путем перечисления суммы на счет Продавца.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 проводились.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предыдущих торгах по продаже имущества за год, предшествующий дню его продажи, которые не состоялись, были отменены, признаны недействительными – не проводились.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имущества – Иркутская область, Иркутский район,</w:t>
      </w:r>
      <w:r w:rsidR="00B7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Хомутово, ул. Мичурина, д. 15.</w:t>
      </w:r>
      <w:proofErr w:type="gramEnd"/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ОАО «Барки»: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полное наименование, адрес (место нахождения) акционерного общества – Открытое акционерное общество «Барки» (ОГРН/ИНН 1033802453552/3827014950), 664540, Иркутская область, Иркутский район,       с. Хомутово, ул. Мичурина, 15;</w:t>
      </w:r>
      <w:proofErr w:type="gramEnd"/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размер уставного капитала хозяйственного общества – 39 300 000 рублей.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ОАО «Барки» выпущено акций 393000, номиналом 100 рублей, из них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акций обыкновенных 393000, привилегированных – 0. 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– продукция растениеводства, продукция животноводства;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 – не включены;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– </w:t>
      </w:r>
      <w:proofErr w:type="spell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интерфакс</w:t>
      </w:r>
      <w:proofErr w:type="spell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   </w:t>
      </w:r>
      <w:hyperlink w:history="1">
        <w:r w:rsidRPr="008C48C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       www.e-disclosure.ru</w:t>
        </w:r>
      </w:hyperlink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irkraion</w:t>
      </w:r>
      <w:proofErr w:type="spellEnd"/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8C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площадь земельных участков, на которых расположено недвижимое имущество хозяйственного общества – 20606 </w:t>
      </w:r>
      <w:proofErr w:type="spell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численность работников составляет 14 человек; 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36"/>
      </w:tblGrid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контора 112,1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Хомутово, Кирова 115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проходная 7,3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Хомутово, Кирова 115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материальный склад 66,2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Хомутово, Кирова 115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картофелехранилище 638,5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Талька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пилорама 68,3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Хомутово, Кирова 115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столовая 67,2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Позднякова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весовая 7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Позднякова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весовая 15,3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C48CB" w:rsidRPr="008C48CB" w:rsidTr="003743F4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склад 271,4 </w:t>
            </w:r>
            <w:proofErr w:type="spellStart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местонахождение;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Хомутово</w:t>
            </w:r>
          </w:p>
        </w:tc>
      </w:tr>
      <w:tr w:rsidR="008C48CB" w:rsidRPr="008C48CB" w:rsidTr="003743F4"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CB" w:rsidRPr="008C48CB" w:rsidRDefault="008C48CB" w:rsidP="008C4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</w:tbl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Иркутского районного муниципального образования от 26.10.2017 № 40-385/</w:t>
      </w:r>
      <w:proofErr w:type="spell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2018 год».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Организатор торгов (Продавец) - 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Дата начала приема заявок – 02.11.2018 в 10:00 часов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Дата окончания приема заявок –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 в 16:00 часов по местному времени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48CB" w:rsidRPr="008C48CB" w:rsidRDefault="008C48CB" w:rsidP="008C48CB">
      <w:pPr>
        <w:widowControl w:val="0"/>
        <w:tabs>
          <w:tab w:val="left" w:pos="9498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Время и место приема заявок и ознакомления с информацией по аукциону по рабочим дням с 10.00 до 16.00 (перерыв с 12.00 до 13.00) по адресу: г. Иркутск, ул. Карла Маркса, 40, кабинет 434, телефон 8 (3952) 718005.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OLE_LINK1"/>
      <w:bookmarkStart w:id="2" w:name="OLE_LINK2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Дата, время и место определения участников аукциона – 04.12.2018          в 14:00 часов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17.</w:t>
      </w:r>
    </w:p>
    <w:bookmarkEnd w:id="1"/>
    <w:bookmarkEnd w:id="2"/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Дата, время и место проведения аукциона – 06.12.2018 в 10:00 часов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17, к. № 3.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Место и срок подведения итогов аукциона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.12.2018 в 10:00 часов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17, к. № 3.</w:t>
      </w:r>
    </w:p>
    <w:p w:rsidR="008C48CB" w:rsidRPr="008C48CB" w:rsidRDefault="008C48CB" w:rsidP="008C48CB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8C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аукционе могут принимать участие любые </w:t>
      </w:r>
      <w:r w:rsidRPr="008C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8C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года № 178-ФЗ «О приватизации государственного и муниципального имущества».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участия в аукционе</w:t>
      </w:r>
    </w:p>
    <w:p w:rsidR="008C48CB" w:rsidRPr="008C48CB" w:rsidRDefault="008C48CB" w:rsidP="008C48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внести задаток на счет Продавца в указанном в настоящем информационном сообщении порядке;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установленном порядке подать заявку по форме, установленной приложением к настоящим условиям приватизации муниципального имущества – 7,6335 % акций ОАО «Барки» одновременно с полным комплектом требуемых для участия в аукционе документов.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задатка и его возврата.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БИК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042 520 001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40302810000005000003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УФК по Иркутской области (КУМИ  Иркутского района, </w:t>
      </w:r>
      <w:proofErr w:type="gramEnd"/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05707000100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382 700 0732, </w:t>
      </w: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382 701 001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платежа: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за участие в аукционе.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Задаток</w:t>
      </w:r>
      <w:r w:rsidRPr="008C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поступить на указанный счет не позднее 12:00 часов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04.12.2018. 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8C48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437</w:t>
        </w:r>
      </w:hyperlink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является</w:t>
      </w:r>
      <w:proofErr w:type="gram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выписка с лицевого счета Комитета по управлению муниципальным имуществом и </w:t>
      </w:r>
      <w:r w:rsidR="00D8459C"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жизнеобеспечению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Иркутского районного муниципального образования.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Задаток возвращается претенденту в следующих случаях и порядке: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подведения</w:t>
      </w:r>
      <w:proofErr w:type="gram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аукциона.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подачи заявок на участие в аукционе.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лицо имеет право подать только одну заявку по лоту.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предоставления неполного пакета документов заявка не принимается.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требуемых для участия в аукционе документов и требования к их оформлению: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Заявка подается в двух экземплярах по утвержденной Продавцом форме.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Юридические лица: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заверенные копии учредительных документов;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Физические лица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8C48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участников аукциона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указанный в настоящих </w:t>
      </w:r>
      <w:r w:rsidR="007F7CDE"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приватизации муниципального имущества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оформления</w:t>
      </w:r>
      <w:proofErr w:type="gramEnd"/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проведения аукциона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178–ФЗ               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аукцион ведет аукциони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участникам аукциона выдаются пронумерованные карточки участника аукциона (далее именуются - карточки);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аукцион начинается с объявления уполномоченным представителем продавца об открыт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путем поднятия карточек и ее оглашения;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завершен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имущества, предложенная победителем аукциона, заносится в протокол об итогах аукциона.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признается участник аукциона, п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редложивший наибольшую цену.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заключения договора купли-продажи имущества 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аукциона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течение 5 рабочих дней 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 путем перечисления суммы на счет Продавца: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/с 40101810900000010001,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8C48CB" w:rsidRPr="008C48CB" w:rsidRDefault="008C48CB" w:rsidP="008C48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ОКТМО 25612000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Наименование платежа: продажа имущества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Задаток, внесенный покупателем на счет Продавца, засчитывается в счет оплаты приобретаемого имущества.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Заключительные положения</w:t>
      </w: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8C4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CB" w:rsidRPr="008C48CB" w:rsidRDefault="008C48CB" w:rsidP="008C4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Мэра                                                                           К.Н. Барановский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E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812D5" w:rsidRPr="00595E15" w:rsidRDefault="00A812D5" w:rsidP="00A812D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приватизации </w:t>
      </w:r>
    </w:p>
    <w:p w:rsidR="00EC525B" w:rsidRPr="00EC525B" w:rsidRDefault="00A812D5" w:rsidP="00EC525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9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525B" w:rsidRPr="00E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7,6335 % акций ОАО «Барки», утвержденных распоряжением администрации </w:t>
      </w:r>
    </w:p>
    <w:p w:rsidR="00A812D5" w:rsidRPr="00595E15" w:rsidRDefault="00EC525B" w:rsidP="00EC525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</w:t>
      </w:r>
      <w:r w:rsidRPr="00E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Организатору: КУМИ Иркутского района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ТОРГАХ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«_____» ____________ 2018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Я,</w:t>
      </w:r>
      <w:r w:rsidRPr="00595E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принимаю решение об участии в торгах по продаже___________________________________________________ обязуюсь</w:t>
      </w:r>
      <w:proofErr w:type="gramEnd"/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условия проведения торгов, содержащиеся в информационном сообщении, опубликованном в газете «Ангарские огни», в информационно-телекоммуникационной</w:t>
      </w:r>
      <w:r w:rsidRPr="0059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12" w:history="1"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irkraion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13" w:history="1">
        <w:r w:rsidRPr="00595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размещения информации о проведении торгов </w:t>
      </w:r>
      <w:hyperlink r:id="rId14" w:history="1">
        <w:proofErr w:type="gramEnd"/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www.torgi.gov.ru</w:t>
        </w:r>
        <w:proofErr w:type="gramStart"/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95E1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Приложения: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sz w:val="28"/>
          <w:szCs w:val="28"/>
          <w:lang w:eastAsia="ru-RU"/>
        </w:rPr>
        <w:t>1. ___________________________________________________________________;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</w:t>
      </w:r>
      <w:r w:rsidRPr="00595E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 ___________________________________________________________________.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Претендента (его полномочного представителя)________________________.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Заявка принята Продавцом: 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час _____ мин. ______ «_____» __________________ 2018 </w:t>
      </w:r>
      <w:proofErr w:type="gramStart"/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proofErr w:type="gramEnd"/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уполномоченного лица Продавца: ________________________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62E1" w:rsidRDefault="001B62E1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sectPr w:rsidR="001B62E1" w:rsidSect="00DC0D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77"/>
    <w:rsid w:val="0007124B"/>
    <w:rsid w:val="001B62E1"/>
    <w:rsid w:val="002A4A85"/>
    <w:rsid w:val="0036505E"/>
    <w:rsid w:val="00681C78"/>
    <w:rsid w:val="007F7CDE"/>
    <w:rsid w:val="008C48CB"/>
    <w:rsid w:val="00A812D5"/>
    <w:rsid w:val="00A953AE"/>
    <w:rsid w:val="00B72056"/>
    <w:rsid w:val="00D8459C"/>
    <w:rsid w:val="00DC0D77"/>
    <w:rsid w:val="00DD7D83"/>
    <w:rsid w:val="00EC525B"/>
    <w:rsid w:val="00F079A3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890941.2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31B047FC83A7E33F54BBEBAB5CE812D2B42F5EBE3867B693CCA235F761DB7B969D875C474A039BBAi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564C263B0B488307A059470B7FDF65F5B20DD4AB1961C80C3CA1EAFADDB0BA8FC42338CD972D2CWFa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Евгения Владимировна</dc:creator>
  <cp:keywords/>
  <dc:description/>
  <cp:lastModifiedBy>Тюрина Евгения Владимировна</cp:lastModifiedBy>
  <cp:revision>3</cp:revision>
  <dcterms:created xsi:type="dcterms:W3CDTF">2018-11-01T03:29:00Z</dcterms:created>
  <dcterms:modified xsi:type="dcterms:W3CDTF">2018-11-01T03:30:00Z</dcterms:modified>
</cp:coreProperties>
</file>